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6B8D6AEC" w:rsidR="00EA4187" w:rsidRDefault="00EA4187" w:rsidP="00EA4187">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672F52">
        <w:rPr>
          <w:rFonts w:eastAsia="宋体" w:hint="eastAsia"/>
          <w:sz w:val="22"/>
          <w:szCs w:val="22"/>
          <w:lang w:val="en-GB" w:eastAsia="zh-CN"/>
        </w:rPr>
        <w:t>9</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FB361B">
        <w:rPr>
          <w:rFonts w:eastAsia="宋体" w:hint="eastAsia"/>
          <w:sz w:val="22"/>
          <w:szCs w:val="22"/>
          <w:lang w:val="en-GB" w:eastAsia="zh-CN"/>
        </w:rPr>
        <w:t xml:space="preserve">     </w:t>
      </w:r>
      <w:r w:rsidRPr="000E51BC">
        <w:rPr>
          <w:rFonts w:eastAsia="宋体" w:hint="eastAsia"/>
          <w:sz w:val="22"/>
          <w:szCs w:val="22"/>
          <w:lang w:val="en-GB" w:eastAsia="zh-CN"/>
        </w:rPr>
        <w:t>R2-2</w:t>
      </w:r>
      <w:r w:rsidR="00672F52" w:rsidRPr="000E51BC">
        <w:rPr>
          <w:rFonts w:eastAsia="宋体" w:hint="eastAsia"/>
          <w:sz w:val="22"/>
          <w:szCs w:val="22"/>
          <w:lang w:val="en-GB" w:eastAsia="zh-CN"/>
        </w:rPr>
        <w:t>5</w:t>
      </w:r>
      <w:r w:rsidR="001328FF" w:rsidRPr="000E51BC">
        <w:rPr>
          <w:rFonts w:eastAsia="宋体" w:hint="eastAsia"/>
          <w:sz w:val="22"/>
          <w:szCs w:val="22"/>
          <w:lang w:val="en-GB" w:eastAsia="zh-CN"/>
        </w:rPr>
        <w:t>0</w:t>
      </w:r>
      <w:r w:rsidR="007D67C8" w:rsidRPr="000E51BC">
        <w:rPr>
          <w:rFonts w:eastAsia="宋体" w:hint="eastAsia"/>
          <w:sz w:val="22"/>
          <w:szCs w:val="22"/>
          <w:lang w:val="en-GB" w:eastAsia="zh-CN"/>
        </w:rPr>
        <w:t>0186</w:t>
      </w:r>
    </w:p>
    <w:p w14:paraId="0CAE2119" w14:textId="2389C8E0" w:rsidR="00B21943" w:rsidRPr="00B21943" w:rsidRDefault="008B630E" w:rsidP="00B21943">
      <w:pPr>
        <w:pStyle w:val="a5"/>
        <w:tabs>
          <w:tab w:val="left" w:pos="7600"/>
        </w:tabs>
        <w:rPr>
          <w:rFonts w:eastAsiaTheme="minorEastAsia"/>
          <w:sz w:val="22"/>
          <w:szCs w:val="22"/>
          <w:lang w:val="en-GB" w:eastAsia="zh-CN"/>
        </w:rPr>
      </w:pPr>
      <w:r w:rsidRPr="008B630E">
        <w:rPr>
          <w:rFonts w:eastAsiaTheme="minorEastAsia"/>
          <w:sz w:val="22"/>
          <w:szCs w:val="22"/>
          <w:lang w:val="en-GB" w:eastAsia="zh-CN"/>
        </w:rPr>
        <w:t>Athens, GR, 17th – 21st Feb</w:t>
      </w:r>
      <w:r w:rsidR="00CA060D">
        <w:rPr>
          <w:rFonts w:eastAsiaTheme="minorEastAsia" w:hint="eastAsia"/>
          <w:sz w:val="22"/>
          <w:szCs w:val="22"/>
          <w:lang w:val="en-GB" w:eastAsia="zh-CN"/>
        </w:rPr>
        <w:t>ruary</w:t>
      </w:r>
      <w:r w:rsidRPr="008B630E">
        <w:rPr>
          <w:rFonts w:eastAsiaTheme="minorEastAsia"/>
          <w:sz w:val="22"/>
          <w:szCs w:val="22"/>
          <w:lang w:val="en-GB" w:eastAsia="zh-CN"/>
        </w:rPr>
        <w:t xml:space="preserve"> 2025</w:t>
      </w:r>
    </w:p>
    <w:p w14:paraId="28778821" w14:textId="77777777" w:rsidR="00B21943" w:rsidRDefault="00B21943" w:rsidP="00EA4187">
      <w:pPr>
        <w:pStyle w:val="a5"/>
        <w:tabs>
          <w:tab w:val="left" w:pos="7600"/>
        </w:tabs>
        <w:rPr>
          <w:rFonts w:eastAsiaTheme="minorEastAsia"/>
          <w:sz w:val="22"/>
          <w:szCs w:val="22"/>
          <w:lang w:val="en-GB" w:eastAsia="zh-CN"/>
        </w:rPr>
      </w:pPr>
    </w:p>
    <w:p w14:paraId="215BED11" w14:textId="78E05B79" w:rsidR="0079573A" w:rsidRDefault="0079573A" w:rsidP="0079573A">
      <w:pPr>
        <w:pStyle w:val="a5"/>
        <w:rPr>
          <w:rFonts w:eastAsiaTheme="minorEastAsia"/>
          <w:sz w:val="22"/>
          <w:szCs w:val="22"/>
          <w:lang w:val="en-GB" w:eastAsia="zh-CN"/>
        </w:rPr>
      </w:pPr>
    </w:p>
    <w:p w14:paraId="5EA27C3E" w14:textId="472AF1E9"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7028C5">
        <w:rPr>
          <w:rFonts w:eastAsiaTheme="minorEastAsia" w:cs="Arial"/>
          <w:sz w:val="22"/>
          <w:szCs w:val="22"/>
          <w:lang w:eastAsia="zh-CN"/>
        </w:rPr>
        <w:tab/>
      </w:r>
      <w:r>
        <w:rPr>
          <w:rFonts w:eastAsia="宋体" w:cs="Arial"/>
          <w:sz w:val="22"/>
          <w:szCs w:val="22"/>
          <w:lang w:eastAsia="zh-CN"/>
        </w:rPr>
        <w:t>CATT</w:t>
      </w:r>
    </w:p>
    <w:p w14:paraId="1A8532EA" w14:textId="7A5B7DE7" w:rsidR="0079573A" w:rsidRPr="005F57ED" w:rsidRDefault="0079573A" w:rsidP="007028C5">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7028C5">
        <w:rPr>
          <w:rFonts w:eastAsiaTheme="minorEastAsia" w:cs="Arial"/>
          <w:sz w:val="22"/>
          <w:szCs w:val="22"/>
          <w:lang w:eastAsia="zh-CN"/>
        </w:rPr>
        <w:tab/>
      </w:r>
      <w:r w:rsidR="00C125D5" w:rsidRPr="007028C5">
        <w:rPr>
          <w:rFonts w:cs="Arial"/>
          <w:sz w:val="22"/>
          <w:szCs w:val="22"/>
        </w:rPr>
        <w:t xml:space="preserve">Discussion on XR </w:t>
      </w:r>
      <w:r w:rsidR="00CA4979">
        <w:rPr>
          <w:rFonts w:eastAsiaTheme="minorEastAsia" w:cs="Arial" w:hint="eastAsia"/>
          <w:sz w:val="22"/>
          <w:szCs w:val="22"/>
          <w:lang w:eastAsia="zh-CN"/>
        </w:rPr>
        <w:t>R</w:t>
      </w:r>
      <w:r w:rsidR="00C125D5" w:rsidRPr="007028C5">
        <w:rPr>
          <w:rFonts w:cs="Arial"/>
          <w:sz w:val="22"/>
          <w:szCs w:val="22"/>
        </w:rPr>
        <w:t xml:space="preserve">ate </w:t>
      </w:r>
      <w:r w:rsidR="00CA4979">
        <w:rPr>
          <w:rFonts w:eastAsiaTheme="minorEastAsia" w:cs="Arial" w:hint="eastAsia"/>
          <w:sz w:val="22"/>
          <w:szCs w:val="22"/>
          <w:lang w:eastAsia="zh-CN"/>
        </w:rPr>
        <w:t>C</w:t>
      </w:r>
      <w:r w:rsidR="00C125D5" w:rsidRPr="007028C5">
        <w:rPr>
          <w:rFonts w:cs="Arial"/>
          <w:sz w:val="22"/>
          <w:szCs w:val="22"/>
        </w:rPr>
        <w:t>ontrol</w:t>
      </w:r>
    </w:p>
    <w:p w14:paraId="02FEED10" w14:textId="314C07E5"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sidR="007028C5">
        <w:rPr>
          <w:rFonts w:eastAsiaTheme="minorEastAsia" w:cs="Arial"/>
          <w:sz w:val="22"/>
          <w:szCs w:val="22"/>
          <w:lang w:eastAsia="zh-CN"/>
        </w:rPr>
        <w:tab/>
      </w:r>
      <w:r w:rsidR="00252D32" w:rsidRPr="002D0F48">
        <w:rPr>
          <w:rFonts w:cs="Arial"/>
          <w:sz w:val="22"/>
          <w:szCs w:val="22"/>
        </w:rPr>
        <w:t>8</w:t>
      </w:r>
      <w:r w:rsidR="00F63DE7" w:rsidRPr="002D0F48">
        <w:rPr>
          <w:rFonts w:cs="Arial" w:hint="eastAsia"/>
          <w:sz w:val="22"/>
          <w:szCs w:val="22"/>
        </w:rPr>
        <w:t>.</w:t>
      </w:r>
      <w:r w:rsidR="00252D32" w:rsidRPr="002D0F48">
        <w:rPr>
          <w:rFonts w:cs="Arial"/>
          <w:sz w:val="22"/>
          <w:szCs w:val="22"/>
        </w:rPr>
        <w:t>7.</w:t>
      </w:r>
      <w:r w:rsidR="00474001" w:rsidRPr="002D0F48">
        <w:rPr>
          <w:rFonts w:cs="Arial" w:hint="eastAsia"/>
          <w:sz w:val="22"/>
          <w:szCs w:val="22"/>
        </w:rPr>
        <w:t>6</w:t>
      </w:r>
    </w:p>
    <w:p w14:paraId="08D93F2E" w14:textId="75E5A826"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Document for:</w:t>
      </w:r>
      <w:bookmarkStart w:id="2" w:name="DocumentFor"/>
      <w:bookmarkEnd w:id="2"/>
      <w:r w:rsidR="007028C5">
        <w:rPr>
          <w:rFonts w:eastAsiaTheme="minorEastAsia" w:cs="Arial"/>
          <w:sz w:val="22"/>
          <w:szCs w:val="22"/>
          <w:lang w:eastAsia="zh-CN"/>
        </w:rPr>
        <w:tab/>
      </w:r>
      <w:r>
        <w:rPr>
          <w:rFonts w:cs="Arial"/>
          <w:sz w:val="22"/>
          <w:szCs w:val="22"/>
        </w:rPr>
        <w:t>Discussio</w:t>
      </w:r>
      <w:r w:rsidRPr="007028C5">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ED53356" w14:textId="61AAA53B" w:rsidR="000E4DFE" w:rsidRDefault="000E4DFE" w:rsidP="000E4DFE">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RAN2#12</w:t>
      </w:r>
      <w:r w:rsidR="00C21BED">
        <w:rPr>
          <w:rFonts w:eastAsiaTheme="minorEastAsia" w:hint="eastAsia"/>
          <w:lang w:val="en-GB" w:eastAsia="zh-CN"/>
        </w:rPr>
        <w:t>8</w:t>
      </w:r>
      <w:r>
        <w:rPr>
          <w:rFonts w:eastAsiaTheme="minorEastAsia" w:hint="eastAsia"/>
          <w:lang w:val="en-GB" w:eastAsia="zh-CN"/>
        </w:rPr>
        <w:t xml:space="preserve"> meeting, regarding to XR rate control, </w:t>
      </w:r>
      <w:r w:rsidR="00C02746">
        <w:rPr>
          <w:rFonts w:eastAsiaTheme="minorEastAsia" w:hint="eastAsia"/>
          <w:lang w:val="en-GB" w:eastAsia="zh-CN"/>
        </w:rPr>
        <w:t>the below agreements were</w:t>
      </w:r>
      <w:r>
        <w:rPr>
          <w:rFonts w:eastAsiaTheme="minorEastAsia" w:hint="eastAsia"/>
          <w:lang w:val="en-GB" w:eastAsia="zh-CN"/>
        </w:rPr>
        <w:t xml:space="preserve"> agreed</w:t>
      </w:r>
      <w:r w:rsidR="0019662F">
        <w:rPr>
          <w:rFonts w:eastAsiaTheme="minorEastAsia" w:hint="eastAsia"/>
          <w:lang w:val="en-GB" w:eastAsia="zh-CN"/>
        </w:rPr>
        <w:t xml:space="preserve"> </w:t>
      </w:r>
      <w:r w:rsidR="0019662F">
        <w:rPr>
          <w:rFonts w:eastAsiaTheme="minorEastAsia"/>
          <w:lang w:val="en-GB" w:eastAsia="zh-CN"/>
        </w:rPr>
        <w:fldChar w:fldCharType="begin"/>
      </w:r>
      <w:r w:rsidR="0019662F">
        <w:rPr>
          <w:rFonts w:eastAsiaTheme="minorEastAsia"/>
          <w:lang w:val="en-GB" w:eastAsia="zh-CN"/>
        </w:rPr>
        <w:instrText xml:space="preserve"> </w:instrText>
      </w:r>
      <w:r w:rsidR="0019662F">
        <w:rPr>
          <w:rFonts w:eastAsiaTheme="minorEastAsia" w:hint="eastAsia"/>
          <w:lang w:val="en-GB" w:eastAsia="zh-CN"/>
        </w:rPr>
        <w:instrText>REF _Ref181627928 \r \h</w:instrText>
      </w:r>
      <w:r w:rsidR="0019662F">
        <w:rPr>
          <w:rFonts w:eastAsiaTheme="minorEastAsia"/>
          <w:lang w:val="en-GB" w:eastAsia="zh-CN"/>
        </w:rPr>
        <w:instrText xml:space="preserve"> </w:instrText>
      </w:r>
      <w:r w:rsidR="0019662F">
        <w:rPr>
          <w:rFonts w:eastAsiaTheme="minorEastAsia"/>
          <w:lang w:val="en-GB" w:eastAsia="zh-CN"/>
        </w:rPr>
      </w:r>
      <w:r w:rsidR="0019662F">
        <w:rPr>
          <w:rFonts w:eastAsiaTheme="minorEastAsia"/>
          <w:lang w:val="en-GB" w:eastAsia="zh-CN"/>
        </w:rPr>
        <w:fldChar w:fldCharType="separate"/>
      </w:r>
      <w:r w:rsidR="0019662F">
        <w:rPr>
          <w:rFonts w:eastAsiaTheme="minorEastAsia"/>
          <w:lang w:val="en-GB" w:eastAsia="zh-CN"/>
        </w:rPr>
        <w:t>[1]</w:t>
      </w:r>
      <w:r w:rsidR="0019662F">
        <w:rPr>
          <w:rFonts w:eastAsiaTheme="minorEastAsia"/>
          <w:lang w:val="en-GB" w:eastAsia="zh-CN"/>
        </w:rPr>
        <w:fldChar w:fldCharType="end"/>
      </w:r>
      <w:r>
        <w:rPr>
          <w:rFonts w:eastAsiaTheme="minorEastAsia" w:hint="eastAsia"/>
          <w:lang w:val="en-GB" w:eastAsia="zh-CN"/>
        </w:rPr>
        <w:t>:</w:t>
      </w:r>
    </w:p>
    <w:p w14:paraId="441D7FD7" w14:textId="31B571DE" w:rsidR="00DA1635" w:rsidRDefault="00DA1635" w:rsidP="00E65689">
      <w:pPr>
        <w:pStyle w:val="a0"/>
        <w:spacing w:beforeLines="50" w:before="120"/>
        <w:rPr>
          <w:rFonts w:eastAsiaTheme="minorEastAsia"/>
          <w:lang w:eastAsia="zh-CN"/>
        </w:rPr>
      </w:pPr>
      <w:r w:rsidRPr="00DA1635">
        <w:rPr>
          <w:rFonts w:eastAsiaTheme="minorEastAsia"/>
          <w:noProof/>
          <w:lang w:eastAsia="zh-CN"/>
        </w:rPr>
        <mc:AlternateContent>
          <mc:Choice Requires="wps">
            <w:drawing>
              <wp:inline distT="0" distB="0" distL="0" distR="0" wp14:anchorId="18DE165C" wp14:editId="1BFCDFF5">
                <wp:extent cx="5296619" cy="2294415"/>
                <wp:effectExtent l="0" t="0" r="18415" b="10795"/>
                <wp:docPr id="6387853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6619" cy="2294415"/>
                        </a:xfrm>
                        <a:prstGeom prst="rect">
                          <a:avLst/>
                        </a:prstGeom>
                        <a:solidFill>
                          <a:srgbClr val="FFFFFF"/>
                        </a:solidFill>
                        <a:ln w="9525">
                          <a:solidFill>
                            <a:srgbClr val="000000"/>
                          </a:solidFill>
                          <a:miter lim="800000"/>
                          <a:headEnd/>
                          <a:tailEnd/>
                        </a:ln>
                      </wps:spPr>
                      <wps:txbx>
                        <w:txbxContent>
                          <w:p w14:paraId="2FFF836F" w14:textId="77777777" w:rsidR="000E4DFE" w:rsidRPr="000E4DFE" w:rsidRDefault="000E4DFE" w:rsidP="000E4DFE">
                            <w:pPr>
                              <w:tabs>
                                <w:tab w:val="left" w:pos="1622"/>
                              </w:tabs>
                              <w:rPr>
                                <w:rFonts w:ascii="Arial" w:eastAsia="MS Mincho" w:hAnsi="Arial"/>
                                <w:b/>
                                <w:lang w:val="en-GB" w:eastAsia="en-GB"/>
                              </w:rPr>
                            </w:pPr>
                            <w:r w:rsidRPr="000E4DFE">
                              <w:rPr>
                                <w:rFonts w:ascii="Arial" w:eastAsia="MS Mincho" w:hAnsi="Arial"/>
                                <w:b/>
                                <w:lang w:val="en-GB" w:eastAsia="en-GB"/>
                              </w:rPr>
                              <w:t>Agreements on XR rate control</w:t>
                            </w:r>
                          </w:p>
                          <w:p w14:paraId="7794ED7D" w14:textId="77777777" w:rsidR="004345CE" w:rsidRDefault="004345CE" w:rsidP="004345CE">
                            <w:pPr>
                              <w:pStyle w:val="Doc-text2"/>
                              <w:numPr>
                                <w:ilvl w:val="0"/>
                                <w:numId w:val="22"/>
                              </w:numPr>
                            </w:pPr>
                            <w:r>
                              <w:t>RAN2 confirms it is feasible for RAN to estimate the congestion information at both per-DRB and per-QoS flow level.</w:t>
                            </w:r>
                          </w:p>
                          <w:p w14:paraId="2767C926" w14:textId="77777777" w:rsidR="004345CE" w:rsidRDefault="004345CE" w:rsidP="004345CE">
                            <w:pPr>
                              <w:pStyle w:val="Doc-text2"/>
                              <w:numPr>
                                <w:ilvl w:val="0"/>
                                <w:numId w:val="22"/>
                              </w:numPr>
                            </w:pPr>
                            <w:r>
                              <w:t>gNB can be indicated which QoS flows can be throttled. FFS whether this is indicated from UE/CN</w:t>
                            </w:r>
                          </w:p>
                          <w:p w14:paraId="539C90A5" w14:textId="77777777" w:rsidR="004345CE" w:rsidRDefault="004345CE" w:rsidP="004345CE">
                            <w:pPr>
                              <w:pStyle w:val="Doc-text2"/>
                              <w:numPr>
                                <w:ilvl w:val="0"/>
                                <w:numId w:val="22"/>
                              </w:numPr>
                            </w:pPr>
                            <w:r>
                              <w:t>Rate indication from gNB to the UE on a per QoS flow level is supported. FFS the details, e.g. if: 1) flows are indicated by MAC CE or 2) by RRC while MAC CE is per DRB.</w:t>
                            </w:r>
                          </w:p>
                          <w:p w14:paraId="3865DB9D" w14:textId="77777777" w:rsidR="004345CE" w:rsidRPr="008327FC" w:rsidRDefault="004345CE" w:rsidP="004345CE">
                            <w:pPr>
                              <w:pStyle w:val="af4"/>
                              <w:numPr>
                                <w:ilvl w:val="0"/>
                                <w:numId w:val="22"/>
                              </w:numPr>
                              <w:overflowPunct/>
                              <w:autoSpaceDE/>
                              <w:autoSpaceDN/>
                              <w:adjustRightInd/>
                              <w:spacing w:after="0"/>
                              <w:contextualSpacing w:val="0"/>
                              <w:textAlignment w:val="auto"/>
                              <w:rPr>
                                <w:rFonts w:ascii="Arial" w:hAnsi="Arial"/>
                                <w:szCs w:val="24"/>
                              </w:rPr>
                            </w:pPr>
                            <w:r w:rsidRPr="008327FC">
                              <w:rPr>
                                <w:rFonts w:ascii="Arial" w:hAnsi="Arial"/>
                                <w:szCs w:val="24"/>
                              </w:rPr>
                              <w:t xml:space="preserve">RAN2 will not discuss/support rate indication for DL unless WID is updated to include it by RANP. </w:t>
                            </w:r>
                          </w:p>
                          <w:p w14:paraId="36A6EF6D" w14:textId="21A01DD2" w:rsidR="004345CE" w:rsidRDefault="004345CE" w:rsidP="004345CE">
                            <w:pPr>
                              <w:pStyle w:val="Doc-text2"/>
                              <w:numPr>
                                <w:ilvl w:val="0"/>
                                <w:numId w:val="22"/>
                              </w:numPr>
                            </w:pPr>
                            <w:r>
                              <w:t>RAN2 assumes that the congestion situation can be known at the gNB without any indication from the UE</w:t>
                            </w:r>
                            <w:r w:rsidR="0072023C">
                              <w:rPr>
                                <w:rFonts w:eastAsiaTheme="minorEastAsia" w:hint="eastAsia"/>
                                <w:lang w:eastAsia="zh-CN"/>
                              </w:rPr>
                              <w:t>.</w:t>
                            </w:r>
                          </w:p>
                          <w:p w14:paraId="0B11DC2F" w14:textId="53D1499A" w:rsidR="000E4DFE" w:rsidRDefault="004345CE" w:rsidP="004345CE">
                            <w:pPr>
                              <w:pStyle w:val="Doc-text2"/>
                              <w:numPr>
                                <w:ilvl w:val="0"/>
                                <w:numId w:val="22"/>
                              </w:numPr>
                            </w:pPr>
                            <w:r>
                              <w:t>FFS whether UL MAC CE rate query/preference is supported as UE recommendation to the NW or whether legacy MAC CE can serve this already. FFS in which scenarios this is useful.</w:t>
                            </w:r>
                          </w:p>
                        </w:txbxContent>
                      </wps:txbx>
                      <wps:bodyPr rot="0" vert="horz" wrap="square" lIns="91440" tIns="45720" rIns="91440" bIns="45720" anchor="t" anchorCtr="0">
                        <a:noAutofit/>
                      </wps:bodyPr>
                    </wps:wsp>
                  </a:graphicData>
                </a:graphic>
              </wp:inline>
            </w:drawing>
          </mc:Choice>
          <mc:Fallback>
            <w:pict>
              <v:shapetype w14:anchorId="18DE165C" id="_x0000_t202" coordsize="21600,21600" o:spt="202" path="m,l,21600r21600,l21600,xe">
                <v:stroke joinstyle="miter"/>
                <v:path gradientshapeok="t" o:connecttype="rect"/>
              </v:shapetype>
              <v:shape id="文本框 2" o:spid="_x0000_s1026" type="#_x0000_t202" style="width:417.05pt;height:18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">
                <v:textbox>
                  <w:txbxContent>
                    <w:p w14:paraId="2FFF836F" w14:textId="77777777" w:rsidR="000E4DFE" w:rsidRPr="000E4DFE" w:rsidRDefault="000E4DFE" w:rsidP="000E4DFE">
                      <w:pPr>
                        <w:tabs>
                          <w:tab w:val="left" w:pos="1622"/>
                        </w:tabs>
                        <w:rPr>
                          <w:rFonts w:ascii="Arial" w:eastAsia="MS Mincho" w:hAnsi="Arial"/>
                          <w:b/>
                          <w:lang w:val="en-GB" w:eastAsia="en-GB"/>
                        </w:rPr>
                      </w:pPr>
                      <w:r w:rsidRPr="000E4DFE">
                        <w:rPr>
                          <w:rFonts w:ascii="Arial" w:eastAsia="MS Mincho" w:hAnsi="Arial"/>
                          <w:b/>
                          <w:lang w:val="en-GB" w:eastAsia="en-GB"/>
                        </w:rPr>
                        <w:t>Agreements on XR rate control</w:t>
                      </w:r>
                    </w:p>
                    <w:p w14:paraId="7794ED7D" w14:textId="77777777" w:rsidR="004345CE" w:rsidRDefault="004345CE" w:rsidP="004345CE">
                      <w:pPr>
                        <w:pStyle w:val="Doc-text2"/>
                        <w:numPr>
                          <w:ilvl w:val="0"/>
                          <w:numId w:val="22"/>
                        </w:numPr>
                      </w:pPr>
                      <w:r>
                        <w:t>RAN2 confirms it is feasible for RAN to estimate the congestion information at both per-DRB and per-QoS flow level.</w:t>
                      </w:r>
                    </w:p>
                    <w:p w14:paraId="2767C926" w14:textId="77777777" w:rsidR="004345CE" w:rsidRDefault="004345CE" w:rsidP="004345CE">
                      <w:pPr>
                        <w:pStyle w:val="Doc-text2"/>
                        <w:numPr>
                          <w:ilvl w:val="0"/>
                          <w:numId w:val="22"/>
                        </w:numPr>
                      </w:pPr>
                      <w:r>
                        <w:t>gNB can be indicated which QoS flows can be throttled. FFS whether this is indicated from UE/CN</w:t>
                      </w:r>
                    </w:p>
                    <w:p w14:paraId="539C90A5" w14:textId="77777777" w:rsidR="004345CE" w:rsidRDefault="004345CE" w:rsidP="004345CE">
                      <w:pPr>
                        <w:pStyle w:val="Doc-text2"/>
                        <w:numPr>
                          <w:ilvl w:val="0"/>
                          <w:numId w:val="22"/>
                        </w:numPr>
                      </w:pPr>
                      <w:r>
                        <w:t>Rate indication from gNB to the UE on a per QoS flow level is supported. FFS the details, e.g. if: 1) flows are indicated by MAC CE or 2) by RRC while MAC CE is per DRB.</w:t>
                      </w:r>
                    </w:p>
                    <w:p w14:paraId="3865DB9D" w14:textId="77777777" w:rsidR="004345CE" w:rsidRPr="008327FC" w:rsidRDefault="004345CE" w:rsidP="004345CE">
                      <w:pPr>
                        <w:pStyle w:val="af4"/>
                        <w:numPr>
                          <w:ilvl w:val="0"/>
                          <w:numId w:val="22"/>
                        </w:numPr>
                        <w:overflowPunct/>
                        <w:autoSpaceDE/>
                        <w:autoSpaceDN/>
                        <w:adjustRightInd/>
                        <w:spacing w:after="0"/>
                        <w:contextualSpacing w:val="0"/>
                        <w:textAlignment w:val="auto"/>
                        <w:rPr>
                          <w:rFonts w:ascii="Arial" w:hAnsi="Arial"/>
                          <w:szCs w:val="24"/>
                        </w:rPr>
                      </w:pPr>
                      <w:r w:rsidRPr="008327FC">
                        <w:rPr>
                          <w:rFonts w:ascii="Arial" w:hAnsi="Arial"/>
                          <w:szCs w:val="24"/>
                        </w:rPr>
                        <w:t xml:space="preserve">RAN2 will not discuss/support rate indication for DL unless WID is updated to include it by RANP. </w:t>
                      </w:r>
                    </w:p>
                    <w:p w14:paraId="36A6EF6D" w14:textId="21A01DD2" w:rsidR="004345CE" w:rsidRDefault="004345CE" w:rsidP="004345CE">
                      <w:pPr>
                        <w:pStyle w:val="Doc-text2"/>
                        <w:numPr>
                          <w:ilvl w:val="0"/>
                          <w:numId w:val="22"/>
                        </w:numPr>
                      </w:pPr>
                      <w:r>
                        <w:t>RAN2 assumes that the congestion situation can be known at the gNB without any indication from the UE</w:t>
                      </w:r>
                      <w:r w:rsidR="0072023C">
                        <w:rPr>
                          <w:rFonts w:eastAsiaTheme="minorEastAsia" w:hint="eastAsia"/>
                          <w:lang w:eastAsia="zh-CN"/>
                        </w:rPr>
                        <w:t>.</w:t>
                      </w:r>
                    </w:p>
                    <w:p w14:paraId="0B11DC2F" w14:textId="53D1499A" w:rsidR="000E4DFE" w:rsidRDefault="004345CE" w:rsidP="004345CE">
                      <w:pPr>
                        <w:pStyle w:val="Doc-text2"/>
                        <w:numPr>
                          <w:ilvl w:val="0"/>
                          <w:numId w:val="22"/>
                        </w:numPr>
                      </w:pPr>
                      <w:r>
                        <w:t>FFS whether UL MAC CE rate query/preference is supported as UE recommendation to the NW or whether legacy MAC CE can serve this already. FFS in which scenarios this is useful.</w:t>
                      </w:r>
                    </w:p>
                  </w:txbxContent>
                </v:textbox>
                <w10:anchorlock/>
              </v:shape>
            </w:pict>
          </mc:Fallback>
        </mc:AlternateContent>
      </w:r>
    </w:p>
    <w:p w14:paraId="476A6224" w14:textId="14783D3C" w:rsidR="007424CE" w:rsidRDefault="00627838" w:rsidP="00E65689">
      <w:pPr>
        <w:pStyle w:val="a0"/>
        <w:spacing w:beforeLines="50" w:before="120"/>
        <w:rPr>
          <w:rFonts w:eastAsiaTheme="minorEastAsia"/>
          <w:lang w:val="en-GB" w:eastAsia="zh-CN"/>
        </w:rPr>
      </w:pPr>
      <w:r>
        <w:rPr>
          <w:rFonts w:eastAsiaTheme="minorEastAsia" w:hint="eastAsia"/>
          <w:lang w:val="en-GB" w:eastAsia="zh-CN"/>
        </w:rPr>
        <w:t xml:space="preserve">In </w:t>
      </w:r>
      <w:r w:rsidR="00C0322F">
        <w:rPr>
          <w:rFonts w:eastAsiaTheme="minorEastAsia" w:hint="eastAsia"/>
          <w:lang w:val="en-GB" w:eastAsia="zh-CN"/>
        </w:rPr>
        <w:t xml:space="preserve">the current </w:t>
      </w:r>
      <w:r>
        <w:rPr>
          <w:rFonts w:eastAsiaTheme="minorEastAsia" w:hint="eastAsia"/>
          <w:lang w:val="en-GB" w:eastAsia="zh-CN"/>
        </w:rPr>
        <w:t xml:space="preserve">contribution, we </w:t>
      </w:r>
      <w:r w:rsidR="00FE3DF0">
        <w:rPr>
          <w:rFonts w:eastAsiaTheme="minorEastAsia" w:hint="eastAsia"/>
          <w:lang w:val="en-GB" w:eastAsia="zh-CN"/>
        </w:rPr>
        <w:t xml:space="preserve">further discuss the below leftover issues </w:t>
      </w:r>
      <w:r w:rsidR="00431467">
        <w:rPr>
          <w:rFonts w:eastAsiaTheme="minorEastAsia" w:hint="eastAsia"/>
          <w:lang w:val="en-GB" w:eastAsia="zh-CN"/>
        </w:rPr>
        <w:t>on</w:t>
      </w:r>
      <w:r w:rsidR="003F02B4">
        <w:rPr>
          <w:rFonts w:eastAsiaTheme="minorEastAsia" w:hint="eastAsia"/>
          <w:lang w:val="en-GB" w:eastAsia="zh-CN"/>
        </w:rPr>
        <w:t xml:space="preserve"> XR rate control:</w:t>
      </w:r>
    </w:p>
    <w:p w14:paraId="7952BB0D" w14:textId="77777777" w:rsidR="00964009" w:rsidRDefault="00964009" w:rsidP="00964009">
      <w:pPr>
        <w:pStyle w:val="a0"/>
        <w:numPr>
          <w:ilvl w:val="0"/>
          <w:numId w:val="12"/>
        </w:numPr>
        <w:spacing w:beforeLines="50" w:before="120"/>
        <w:rPr>
          <w:rFonts w:eastAsiaTheme="minorEastAsia"/>
          <w:lang w:val="en-GB" w:eastAsia="zh-CN"/>
        </w:rPr>
      </w:pPr>
      <w:r>
        <w:rPr>
          <w:rFonts w:eastAsiaTheme="minorEastAsia" w:hint="eastAsia"/>
          <w:lang w:val="en-GB" w:eastAsia="zh-CN"/>
        </w:rPr>
        <w:t>Details on per QoS flow level.</w:t>
      </w:r>
    </w:p>
    <w:p w14:paraId="001063D2" w14:textId="1E4AF94F" w:rsidR="00AA4564" w:rsidRDefault="00A425DE" w:rsidP="006D044D">
      <w:pPr>
        <w:pStyle w:val="a0"/>
        <w:numPr>
          <w:ilvl w:val="0"/>
          <w:numId w:val="12"/>
        </w:numPr>
        <w:spacing w:beforeLines="50" w:before="120"/>
        <w:rPr>
          <w:rFonts w:eastAsiaTheme="minorEastAsia"/>
          <w:lang w:val="en-GB" w:eastAsia="zh-CN"/>
        </w:rPr>
      </w:pPr>
      <w:r>
        <w:rPr>
          <w:rFonts w:eastAsiaTheme="minorEastAsia" w:hint="eastAsia"/>
          <w:lang w:val="en-GB" w:eastAsia="zh-CN"/>
        </w:rPr>
        <w:t>Bit rate indication enhancement</w:t>
      </w:r>
      <w:r w:rsidR="005862C1">
        <w:rPr>
          <w:rFonts w:eastAsiaTheme="minorEastAsia" w:hint="eastAsia"/>
          <w:lang w:val="en-GB" w:eastAsia="zh-CN"/>
        </w:rPr>
        <w:t>.</w:t>
      </w:r>
    </w:p>
    <w:p w14:paraId="71D74DCD" w14:textId="1D00F16B" w:rsidR="002077A1" w:rsidRDefault="002077A1" w:rsidP="006D044D">
      <w:pPr>
        <w:pStyle w:val="a0"/>
        <w:numPr>
          <w:ilvl w:val="0"/>
          <w:numId w:val="12"/>
        </w:numPr>
        <w:spacing w:beforeLines="50" w:before="120"/>
        <w:rPr>
          <w:rFonts w:eastAsiaTheme="minorEastAsia"/>
          <w:lang w:val="en-GB" w:eastAsia="zh-CN"/>
        </w:rPr>
      </w:pPr>
      <w:r>
        <w:rPr>
          <w:rFonts w:eastAsiaTheme="minorEastAsia" w:hint="eastAsia"/>
          <w:lang w:val="en-GB" w:eastAsia="zh-CN"/>
        </w:rPr>
        <w:t xml:space="preserve">Assistance information </w:t>
      </w:r>
      <w:r w:rsidR="00A425DE">
        <w:rPr>
          <w:rFonts w:eastAsiaTheme="minorEastAsia" w:hint="eastAsia"/>
          <w:lang w:val="en-GB" w:eastAsia="zh-CN"/>
        </w:rPr>
        <w:t>to</w:t>
      </w:r>
      <w:r>
        <w:rPr>
          <w:rFonts w:eastAsiaTheme="minorEastAsia" w:hint="eastAsia"/>
          <w:lang w:val="en-GB" w:eastAsia="zh-CN"/>
        </w:rPr>
        <w:t xml:space="preserve"> gNB</w:t>
      </w:r>
      <w:r w:rsidR="00732B3E">
        <w:rPr>
          <w:rFonts w:eastAsiaTheme="minorEastAsia" w:hint="eastAsia"/>
          <w:lang w:val="en-GB" w:eastAsia="zh-CN"/>
        </w:rPr>
        <w:t>.</w:t>
      </w:r>
    </w:p>
    <w:p w14:paraId="0071795D" w14:textId="2AD85529" w:rsidR="006D044D" w:rsidRDefault="00D47183" w:rsidP="006D044D">
      <w:pPr>
        <w:pStyle w:val="a0"/>
        <w:numPr>
          <w:ilvl w:val="0"/>
          <w:numId w:val="12"/>
        </w:numPr>
        <w:spacing w:beforeLines="50" w:before="120"/>
        <w:rPr>
          <w:rFonts w:eastAsiaTheme="minorEastAsia"/>
          <w:lang w:val="en-GB" w:eastAsia="zh-CN"/>
        </w:rPr>
      </w:pPr>
      <w:r>
        <w:rPr>
          <w:rFonts w:eastAsiaTheme="minorEastAsia" w:hint="eastAsia"/>
          <w:lang w:val="en-GB" w:eastAsia="zh-CN"/>
        </w:rPr>
        <w:t>FFS on UL MAC CE rate query.</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1F7D0BBC" w14:textId="7904096E" w:rsidR="005B5B6B" w:rsidRPr="007035FE" w:rsidRDefault="005B5B6B" w:rsidP="005B5B6B">
      <w:pPr>
        <w:pStyle w:val="20"/>
        <w:keepNext w:val="0"/>
        <w:widowControl w:val="0"/>
        <w:ind w:left="568" w:hangingChars="283" w:hanging="568"/>
        <w:rPr>
          <w:rFonts w:eastAsiaTheme="minorEastAsia"/>
          <w:lang w:val="en-GB"/>
        </w:rPr>
      </w:pPr>
      <w:r>
        <w:rPr>
          <w:rFonts w:eastAsiaTheme="minorEastAsia" w:hint="eastAsia"/>
          <w:lang w:val="en-GB"/>
        </w:rPr>
        <w:t>Details on per QoS flow level</w:t>
      </w:r>
    </w:p>
    <w:p w14:paraId="1B38012B" w14:textId="3504296F" w:rsidR="005B5B6B" w:rsidRDefault="005B5B6B" w:rsidP="005B5B6B">
      <w:pPr>
        <w:pStyle w:val="a7"/>
        <w:jc w:val="both"/>
        <w:rPr>
          <w:rFonts w:eastAsiaTheme="minorEastAsia"/>
          <w:lang w:eastAsia="zh-CN"/>
        </w:rPr>
      </w:pPr>
      <w:r>
        <w:rPr>
          <w:rFonts w:eastAsiaTheme="minorEastAsia" w:hint="eastAsia"/>
          <w:lang w:eastAsia="zh-CN"/>
        </w:rPr>
        <w:t xml:space="preserve">There are two options </w:t>
      </w:r>
      <w:r>
        <w:rPr>
          <w:rFonts w:eastAsiaTheme="minorEastAsia"/>
          <w:lang w:eastAsia="zh-CN"/>
        </w:rPr>
        <w:t>recorded</w:t>
      </w:r>
      <w:r>
        <w:rPr>
          <w:rFonts w:eastAsiaTheme="minorEastAsia" w:hint="eastAsia"/>
          <w:lang w:eastAsia="zh-CN"/>
        </w:rPr>
        <w:t xml:space="preserve"> in the chairman notes of the last RAN2 meeting. One is to introduce per-QoS flow </w:t>
      </w:r>
      <w:r>
        <w:rPr>
          <w:rFonts w:eastAsiaTheme="minorEastAsia"/>
          <w:lang w:eastAsia="zh-CN"/>
        </w:rPr>
        <w:t>granularity</w:t>
      </w:r>
      <w:r>
        <w:rPr>
          <w:rFonts w:eastAsiaTheme="minorEastAsia" w:hint="eastAsia"/>
          <w:lang w:eastAsia="zh-CN"/>
        </w:rPr>
        <w:t xml:space="preserve"> in the recommended bitrate MAC CE, and the other is to reuse the legacy per DRB </w:t>
      </w:r>
      <w:r>
        <w:rPr>
          <w:rFonts w:eastAsiaTheme="minorEastAsia"/>
          <w:lang w:eastAsia="zh-CN"/>
        </w:rPr>
        <w:t>granularity</w:t>
      </w:r>
      <w:r>
        <w:rPr>
          <w:rFonts w:eastAsiaTheme="minorEastAsia" w:hint="eastAsia"/>
          <w:lang w:eastAsia="zh-CN"/>
        </w:rPr>
        <w:t xml:space="preserve"> in the recommended bitrate MAC CE with introducing RRC signalling to show which QoS </w:t>
      </w:r>
      <w:r>
        <w:rPr>
          <w:rFonts w:eastAsiaTheme="minorEastAsia"/>
          <w:lang w:eastAsia="zh-CN"/>
        </w:rPr>
        <w:t>flows</w:t>
      </w:r>
      <w:r>
        <w:rPr>
          <w:rFonts w:eastAsiaTheme="minorEastAsia" w:hint="eastAsia"/>
          <w:lang w:eastAsia="zh-CN"/>
        </w:rPr>
        <w:t xml:space="preserve"> are subject to bitrate adaptation. Both </w:t>
      </w:r>
      <w:r w:rsidR="007D2DB2">
        <w:rPr>
          <w:rFonts w:eastAsiaTheme="minorEastAsia" w:hint="eastAsia"/>
          <w:lang w:eastAsia="zh-CN"/>
        </w:rPr>
        <w:t>options</w:t>
      </w:r>
      <w:r>
        <w:rPr>
          <w:rFonts w:eastAsiaTheme="minorEastAsia" w:hint="eastAsia"/>
          <w:lang w:eastAsia="zh-CN"/>
        </w:rPr>
        <w:t xml:space="preserve"> are feasible, </w:t>
      </w:r>
      <w:r w:rsidR="00552A21">
        <w:rPr>
          <w:rFonts w:eastAsiaTheme="minorEastAsia" w:hint="eastAsia"/>
          <w:lang w:eastAsia="zh-CN"/>
        </w:rPr>
        <w:t>here we are focus</w:t>
      </w:r>
      <w:r w:rsidR="001765BE">
        <w:rPr>
          <w:rFonts w:eastAsiaTheme="minorEastAsia" w:hint="eastAsia"/>
          <w:lang w:eastAsia="zh-CN"/>
        </w:rPr>
        <w:t>ed</w:t>
      </w:r>
      <w:r w:rsidR="00552A21">
        <w:rPr>
          <w:rFonts w:eastAsiaTheme="minorEastAsia" w:hint="eastAsia"/>
          <w:lang w:eastAsia="zh-CN"/>
        </w:rPr>
        <w:t xml:space="preserve"> on </w:t>
      </w:r>
      <w:r w:rsidR="001B54CE">
        <w:rPr>
          <w:rFonts w:eastAsiaTheme="minorEastAsia" w:hint="eastAsia"/>
          <w:lang w:eastAsia="zh-CN"/>
        </w:rPr>
        <w:t>analysing</w:t>
      </w:r>
      <w:r w:rsidR="00D32C25">
        <w:rPr>
          <w:rFonts w:eastAsiaTheme="minorEastAsia" w:hint="eastAsia"/>
          <w:lang w:eastAsia="zh-CN"/>
        </w:rPr>
        <w:t xml:space="preserve"> </w:t>
      </w:r>
      <w:r w:rsidR="00154798">
        <w:rPr>
          <w:rFonts w:eastAsiaTheme="minorEastAsia" w:hint="eastAsia"/>
          <w:lang w:eastAsia="zh-CN"/>
        </w:rPr>
        <w:t xml:space="preserve">the </w:t>
      </w:r>
      <w:r w:rsidR="00030860">
        <w:rPr>
          <w:rFonts w:eastAsiaTheme="minorEastAsia"/>
          <w:lang w:eastAsia="zh-CN"/>
        </w:rPr>
        <w:t>potential</w:t>
      </w:r>
      <w:r w:rsidR="00552A21">
        <w:rPr>
          <w:rFonts w:eastAsiaTheme="minorEastAsia" w:hint="eastAsia"/>
          <w:lang w:eastAsia="zh-CN"/>
        </w:rPr>
        <w:t xml:space="preserve"> impacts to support the related </w:t>
      </w:r>
      <w:r w:rsidR="00154798">
        <w:rPr>
          <w:rFonts w:eastAsiaTheme="minorEastAsia" w:hint="eastAsia"/>
          <w:lang w:eastAsia="zh-CN"/>
        </w:rPr>
        <w:t xml:space="preserve">options </w:t>
      </w:r>
      <w:r w:rsidR="00552A21">
        <w:rPr>
          <w:rFonts w:eastAsiaTheme="minorEastAsia" w:hint="eastAsia"/>
          <w:lang w:eastAsia="zh-CN"/>
        </w:rPr>
        <w:t xml:space="preserve">according to online </w:t>
      </w:r>
      <w:r w:rsidR="00DC3647">
        <w:rPr>
          <w:rFonts w:eastAsiaTheme="minorEastAsia" w:hint="eastAsia"/>
          <w:lang w:eastAsia="zh-CN"/>
        </w:rPr>
        <w:t>comments</w:t>
      </w:r>
      <w:r w:rsidR="00552A21">
        <w:rPr>
          <w:rFonts w:eastAsiaTheme="minorEastAsia" w:hint="eastAsia"/>
          <w:lang w:eastAsia="zh-CN"/>
        </w:rPr>
        <w:t xml:space="preserve">. </w:t>
      </w:r>
      <w:r w:rsidR="004134ED">
        <w:rPr>
          <w:rFonts w:eastAsiaTheme="minorEastAsia" w:hint="eastAsia"/>
          <w:lang w:eastAsia="zh-CN"/>
        </w:rPr>
        <w:t xml:space="preserve">For the </w:t>
      </w:r>
      <w:r w:rsidR="00CF1FBF">
        <w:rPr>
          <w:rFonts w:eastAsiaTheme="minorEastAsia" w:hint="eastAsia"/>
          <w:lang w:eastAsia="zh-CN"/>
        </w:rPr>
        <w:t>solution</w:t>
      </w:r>
      <w:r w:rsidR="004134ED">
        <w:rPr>
          <w:rFonts w:eastAsiaTheme="minorEastAsia" w:hint="eastAsia"/>
          <w:lang w:eastAsia="zh-CN"/>
        </w:rPr>
        <w:t xml:space="preserve"> </w:t>
      </w:r>
      <w:r>
        <w:rPr>
          <w:rFonts w:eastAsiaTheme="minorEastAsia" w:hint="eastAsia"/>
          <w:lang w:eastAsia="zh-CN"/>
        </w:rPr>
        <w:t xml:space="preserve">to introduce per-QoS flow </w:t>
      </w:r>
      <w:r>
        <w:rPr>
          <w:rFonts w:eastAsiaTheme="minorEastAsia"/>
          <w:lang w:eastAsia="zh-CN"/>
        </w:rPr>
        <w:t>granularity</w:t>
      </w:r>
      <w:r>
        <w:rPr>
          <w:rFonts w:eastAsiaTheme="minorEastAsia" w:hint="eastAsia"/>
          <w:lang w:eastAsia="zh-CN"/>
        </w:rPr>
        <w:t xml:space="preserve"> in the recommended bitrate MAC CE, the overhead of the new MAC CE will be increased. S</w:t>
      </w:r>
      <w:r>
        <w:rPr>
          <w:rFonts w:eastAsiaTheme="minorEastAsia"/>
          <w:lang w:eastAsia="zh-CN"/>
        </w:rPr>
        <w:t>i</w:t>
      </w:r>
      <w:r>
        <w:rPr>
          <w:rFonts w:eastAsiaTheme="minorEastAsia" w:hint="eastAsia"/>
          <w:lang w:eastAsia="zh-CN"/>
        </w:rPr>
        <w:t>nce in the RAN AS layer, the QoS flow is invisibility after QoS to DRB mapping. To identify specific QoS flow in the new MAC CE, besides the QoS flow ID, the PDU session ID should also be included which means the overhead compared to legacy will increase d</w:t>
      </w:r>
      <w:r w:rsidRPr="00AE4716">
        <w:rPr>
          <w:rFonts w:eastAsiaTheme="minorEastAsia"/>
          <w:lang w:eastAsia="zh-CN"/>
        </w:rPr>
        <w:t>ramatically</w:t>
      </w:r>
      <w:r>
        <w:rPr>
          <w:rFonts w:eastAsiaTheme="minorEastAsia" w:hint="eastAsia"/>
          <w:lang w:eastAsia="zh-CN"/>
        </w:rPr>
        <w:t xml:space="preserve">. </w:t>
      </w:r>
      <w:r w:rsidR="006679E9">
        <w:rPr>
          <w:rFonts w:eastAsiaTheme="minorEastAsia" w:hint="eastAsia"/>
          <w:lang w:eastAsia="zh-CN"/>
        </w:rPr>
        <w:t xml:space="preserve">The </w:t>
      </w:r>
      <w:r w:rsidR="002864DF">
        <w:rPr>
          <w:rFonts w:eastAsiaTheme="minorEastAsia" w:hint="eastAsia"/>
          <w:lang w:eastAsia="zh-CN"/>
        </w:rPr>
        <w:t xml:space="preserve">other </w:t>
      </w:r>
      <w:r w:rsidR="006679E9">
        <w:rPr>
          <w:rFonts w:eastAsiaTheme="minorEastAsia" w:hint="eastAsia"/>
          <w:lang w:eastAsia="zh-CN"/>
        </w:rPr>
        <w:t xml:space="preserve">concern is whether </w:t>
      </w:r>
      <w:r w:rsidR="00FD23CD">
        <w:rPr>
          <w:rFonts w:eastAsiaTheme="minorEastAsia" w:hint="eastAsia"/>
          <w:lang w:eastAsia="zh-CN"/>
        </w:rPr>
        <w:t>the</w:t>
      </w:r>
      <w:r w:rsidR="006679E9">
        <w:rPr>
          <w:rFonts w:eastAsiaTheme="minorEastAsia" w:hint="eastAsia"/>
          <w:lang w:eastAsia="zh-CN"/>
        </w:rPr>
        <w:t xml:space="preserve"> CU-DU split </w:t>
      </w:r>
      <w:r w:rsidR="00FD23CD">
        <w:rPr>
          <w:rFonts w:eastAsiaTheme="minorEastAsia" w:hint="eastAsia"/>
          <w:lang w:eastAsia="zh-CN"/>
        </w:rPr>
        <w:t>case can be supported</w:t>
      </w:r>
      <w:r w:rsidR="006679E9">
        <w:rPr>
          <w:rFonts w:eastAsiaTheme="minorEastAsia" w:hint="eastAsia"/>
          <w:lang w:eastAsia="zh-CN"/>
        </w:rPr>
        <w:t>.</w:t>
      </w:r>
      <w:r w:rsidR="00D04092">
        <w:rPr>
          <w:rFonts w:eastAsiaTheme="minorEastAsia" w:hint="eastAsia"/>
          <w:lang w:eastAsia="zh-CN"/>
        </w:rPr>
        <w:t xml:space="preserve"> On the other hand, </w:t>
      </w:r>
      <w:r w:rsidR="00EE4482">
        <w:rPr>
          <w:rFonts w:eastAsiaTheme="minorEastAsia" w:hint="eastAsia"/>
          <w:lang w:eastAsia="zh-CN"/>
        </w:rPr>
        <w:t xml:space="preserve">for </w:t>
      </w:r>
      <w:r>
        <w:rPr>
          <w:rFonts w:eastAsiaTheme="minorEastAsia" w:hint="eastAsia"/>
          <w:lang w:eastAsia="zh-CN"/>
        </w:rPr>
        <w:t>the RRC indication with per-DRB MAC CE solution</w:t>
      </w:r>
      <w:r w:rsidR="00EE4482">
        <w:rPr>
          <w:rFonts w:eastAsiaTheme="minorEastAsia" w:hint="eastAsia"/>
          <w:lang w:eastAsia="zh-CN"/>
        </w:rPr>
        <w:t xml:space="preserve">, </w:t>
      </w:r>
      <w:r w:rsidR="0087670C">
        <w:rPr>
          <w:rFonts w:eastAsiaTheme="minorEastAsia" w:hint="eastAsia"/>
          <w:lang w:eastAsia="zh-CN"/>
        </w:rPr>
        <w:t xml:space="preserve">the issue that how to </w:t>
      </w:r>
      <w:r w:rsidR="00030860">
        <w:rPr>
          <w:rFonts w:eastAsiaTheme="minorEastAsia"/>
          <w:lang w:eastAsia="zh-CN"/>
        </w:rPr>
        <w:t>guarantee</w:t>
      </w:r>
      <w:r w:rsidR="0087670C">
        <w:rPr>
          <w:rFonts w:eastAsiaTheme="minorEastAsia" w:hint="eastAsia"/>
          <w:lang w:eastAsia="zh-CN"/>
        </w:rPr>
        <w:t xml:space="preserve"> the sequence of RRC signalling and MAC CE should be further </w:t>
      </w:r>
      <w:r w:rsidR="00030860">
        <w:rPr>
          <w:rFonts w:eastAsiaTheme="minorEastAsia" w:hint="eastAsia"/>
          <w:lang w:eastAsia="zh-CN"/>
        </w:rPr>
        <w:t>discussed</w:t>
      </w:r>
      <w:r w:rsidR="0087670C">
        <w:rPr>
          <w:rFonts w:eastAsiaTheme="minorEastAsia" w:hint="eastAsia"/>
          <w:lang w:eastAsia="zh-CN"/>
        </w:rPr>
        <w:t>.</w:t>
      </w:r>
      <w:r w:rsidR="00030860">
        <w:rPr>
          <w:rFonts w:eastAsiaTheme="minorEastAsia" w:hint="eastAsia"/>
          <w:lang w:eastAsia="zh-CN"/>
        </w:rPr>
        <w:t xml:space="preserve"> </w:t>
      </w:r>
      <w:r w:rsidR="00A61330">
        <w:rPr>
          <w:rFonts w:eastAsiaTheme="minorEastAsia"/>
          <w:lang w:eastAsia="zh-CN"/>
        </w:rPr>
        <w:t>Considering</w:t>
      </w:r>
      <w:r w:rsidR="008914FF">
        <w:rPr>
          <w:rFonts w:eastAsiaTheme="minorEastAsia" w:hint="eastAsia"/>
          <w:lang w:eastAsia="zh-CN"/>
        </w:rPr>
        <w:t xml:space="preserve"> there was one related LS</w:t>
      </w:r>
      <w:r w:rsidR="00917FDE">
        <w:rPr>
          <w:rFonts w:eastAsiaTheme="minorEastAsia"/>
          <w:lang w:eastAsia="zh-CN"/>
        </w:rPr>
        <w:fldChar w:fldCharType="begin"/>
      </w:r>
      <w:r w:rsidR="00917FDE">
        <w:rPr>
          <w:rFonts w:eastAsiaTheme="minorEastAsia"/>
          <w:lang w:eastAsia="zh-CN"/>
        </w:rPr>
        <w:instrText xml:space="preserve"> </w:instrText>
      </w:r>
      <w:r w:rsidR="00917FDE">
        <w:rPr>
          <w:rFonts w:eastAsiaTheme="minorEastAsia" w:hint="eastAsia"/>
          <w:lang w:eastAsia="zh-CN"/>
        </w:rPr>
        <w:instrText>REF _Ref188278247 \r \h</w:instrText>
      </w:r>
      <w:r w:rsidR="00917FDE">
        <w:rPr>
          <w:rFonts w:eastAsiaTheme="minorEastAsia"/>
          <w:lang w:eastAsia="zh-CN"/>
        </w:rPr>
        <w:instrText xml:space="preserve"> </w:instrText>
      </w:r>
      <w:r w:rsidR="00917FDE">
        <w:rPr>
          <w:rFonts w:eastAsiaTheme="minorEastAsia"/>
          <w:lang w:eastAsia="zh-CN"/>
        </w:rPr>
      </w:r>
      <w:r w:rsidR="00917FDE">
        <w:rPr>
          <w:rFonts w:eastAsiaTheme="minorEastAsia"/>
          <w:lang w:eastAsia="zh-CN"/>
        </w:rPr>
        <w:fldChar w:fldCharType="separate"/>
      </w:r>
      <w:r w:rsidR="00917FDE">
        <w:rPr>
          <w:rFonts w:eastAsiaTheme="minorEastAsia"/>
          <w:lang w:eastAsia="zh-CN"/>
        </w:rPr>
        <w:t>[2]</w:t>
      </w:r>
      <w:r w:rsidR="00917FDE">
        <w:rPr>
          <w:rFonts w:eastAsiaTheme="minorEastAsia"/>
          <w:lang w:eastAsia="zh-CN"/>
        </w:rPr>
        <w:fldChar w:fldCharType="end"/>
      </w:r>
      <w:r w:rsidR="008914FF">
        <w:rPr>
          <w:rFonts w:eastAsiaTheme="minorEastAsia" w:hint="eastAsia"/>
          <w:lang w:eastAsia="zh-CN"/>
        </w:rPr>
        <w:t xml:space="preserve"> had been sent to SA</w:t>
      </w:r>
      <w:r w:rsidR="00D75191">
        <w:rPr>
          <w:rFonts w:eastAsiaTheme="minorEastAsia" w:hint="eastAsia"/>
          <w:lang w:eastAsia="zh-CN"/>
        </w:rPr>
        <w:t>4</w:t>
      </w:r>
      <w:r w:rsidR="008914FF">
        <w:rPr>
          <w:rFonts w:eastAsiaTheme="minorEastAsia" w:hint="eastAsia"/>
          <w:lang w:eastAsia="zh-CN"/>
        </w:rPr>
        <w:t xml:space="preserve"> and RAN3 in RAN2#128 meeting, it is preferred to postpone this issue until the LS reply is received.</w:t>
      </w:r>
      <w:r w:rsidR="008914FF" w:rsidDel="0087670C">
        <w:rPr>
          <w:rFonts w:eastAsiaTheme="minorEastAsia" w:hint="eastAsia"/>
          <w:lang w:eastAsia="zh-CN"/>
        </w:rPr>
        <w:t xml:space="preserve"> </w:t>
      </w:r>
    </w:p>
    <w:p w14:paraId="7953B4B6" w14:textId="0F2702A2" w:rsidR="005B5B6B" w:rsidRDefault="00F37108" w:rsidP="005F57ED">
      <w:pPr>
        <w:pStyle w:val="a7"/>
        <w:jc w:val="both"/>
      </w:pPr>
      <w:bookmarkStart w:id="6" w:name="_Ref188345232"/>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sidR="00AA69AB">
        <w:rPr>
          <w:b/>
          <w:bCs/>
          <w:noProof/>
        </w:rPr>
        <w:t>1</w:t>
      </w:r>
      <w:r w:rsidRPr="005F57ED">
        <w:rPr>
          <w:b/>
          <w:bCs/>
        </w:rPr>
        <w:fldChar w:fldCharType="end"/>
      </w:r>
      <w:r>
        <w:rPr>
          <w:rFonts w:hint="eastAsia"/>
          <w:b/>
          <w:bCs/>
          <w:lang w:eastAsia="zh-CN"/>
        </w:rPr>
        <w:t>:</w:t>
      </w:r>
      <w:r w:rsidR="005B5B6B" w:rsidRPr="008E3DC5">
        <w:rPr>
          <w:rFonts w:eastAsiaTheme="minorEastAsia"/>
          <w:b/>
          <w:lang w:eastAsia="zh-CN"/>
        </w:rPr>
        <w:t xml:space="preserve"> </w:t>
      </w:r>
      <w:r w:rsidR="00CC2695">
        <w:rPr>
          <w:rFonts w:eastAsiaTheme="minorEastAsia" w:hint="eastAsia"/>
          <w:b/>
          <w:lang w:eastAsia="zh-CN"/>
        </w:rPr>
        <w:t>RAN2 p</w:t>
      </w:r>
      <w:r w:rsidR="00DD2351">
        <w:rPr>
          <w:rFonts w:eastAsiaTheme="minorEastAsia" w:hint="eastAsia"/>
          <w:b/>
          <w:lang w:eastAsia="zh-CN"/>
        </w:rPr>
        <w:t>ostpone</w:t>
      </w:r>
      <w:r w:rsidR="00CC2695">
        <w:rPr>
          <w:rFonts w:eastAsiaTheme="minorEastAsia" w:hint="eastAsia"/>
          <w:b/>
          <w:lang w:eastAsia="zh-CN"/>
        </w:rPr>
        <w:t>s</w:t>
      </w:r>
      <w:r w:rsidR="00DD2351">
        <w:rPr>
          <w:rFonts w:eastAsiaTheme="minorEastAsia" w:hint="eastAsia"/>
          <w:b/>
          <w:lang w:eastAsia="zh-CN"/>
        </w:rPr>
        <w:t xml:space="preserve"> discussing the details on per QoS flow level solution </w:t>
      </w:r>
      <w:r w:rsidR="00CC2695">
        <w:rPr>
          <w:rFonts w:eastAsiaTheme="minorEastAsia" w:hint="eastAsia"/>
          <w:b/>
          <w:lang w:eastAsia="zh-CN"/>
        </w:rPr>
        <w:t>until</w:t>
      </w:r>
      <w:r w:rsidR="00DD2351">
        <w:rPr>
          <w:rFonts w:eastAsiaTheme="minorEastAsia" w:hint="eastAsia"/>
          <w:b/>
          <w:lang w:eastAsia="zh-CN"/>
        </w:rPr>
        <w:t xml:space="preserve"> LS reply received.</w:t>
      </w:r>
      <w:bookmarkEnd w:id="6"/>
    </w:p>
    <w:p w14:paraId="2F1DA5FB" w14:textId="3D4B1D26" w:rsidR="007F31AC" w:rsidRPr="007035FE" w:rsidRDefault="007A33A6" w:rsidP="007F31AC">
      <w:pPr>
        <w:pStyle w:val="20"/>
        <w:keepNext w:val="0"/>
        <w:widowControl w:val="0"/>
        <w:ind w:left="568" w:hangingChars="283" w:hanging="568"/>
        <w:rPr>
          <w:rFonts w:eastAsiaTheme="minorEastAsia"/>
          <w:lang w:val="en-GB"/>
        </w:rPr>
      </w:pPr>
      <w:r>
        <w:rPr>
          <w:rFonts w:eastAsiaTheme="minorEastAsia" w:hint="eastAsia"/>
          <w:lang w:val="en-GB"/>
        </w:rPr>
        <w:lastRenderedPageBreak/>
        <w:t>Bit rate indication enhancement</w:t>
      </w:r>
    </w:p>
    <w:p w14:paraId="464F9F87" w14:textId="28FD774C" w:rsidR="00194C3E" w:rsidRDefault="00B9648D" w:rsidP="00194C3E">
      <w:pPr>
        <w:pStyle w:val="a0"/>
        <w:rPr>
          <w:rFonts w:eastAsiaTheme="minorEastAsia"/>
          <w:lang w:val="en-GB" w:eastAsia="zh-CN"/>
        </w:rPr>
      </w:pPr>
      <w:r>
        <w:rPr>
          <w:rFonts w:eastAsiaTheme="minorEastAsia" w:hint="eastAsia"/>
          <w:lang w:val="en-GB" w:eastAsia="zh-CN"/>
        </w:rPr>
        <w:t xml:space="preserve">In RAN2#127bis meeting, one LS was sent </w:t>
      </w:r>
      <w:r w:rsidRPr="00B9648D">
        <w:rPr>
          <w:rFonts w:eastAsiaTheme="minorEastAsia"/>
          <w:lang w:val="en-GB" w:eastAsia="zh-CN"/>
        </w:rPr>
        <w:t>to SA4 asking about range/granularity which is required</w:t>
      </w:r>
      <w:r w:rsidR="0062388E">
        <w:rPr>
          <w:rFonts w:eastAsiaTheme="minorEastAsia"/>
          <w:lang w:val="en-GB" w:eastAsia="zh-CN"/>
        </w:rPr>
        <w:fldChar w:fldCharType="begin"/>
      </w:r>
      <w:r w:rsidR="0062388E">
        <w:rPr>
          <w:rFonts w:eastAsiaTheme="minorEastAsia"/>
          <w:lang w:val="en-GB" w:eastAsia="zh-CN"/>
        </w:rPr>
        <w:instrText xml:space="preserve"> REF _Ref188271147 \r \h </w:instrText>
      </w:r>
      <w:r w:rsidR="0062388E">
        <w:rPr>
          <w:rFonts w:eastAsiaTheme="minorEastAsia"/>
          <w:lang w:val="en-GB" w:eastAsia="zh-CN"/>
        </w:rPr>
      </w:r>
      <w:r w:rsidR="0062388E">
        <w:rPr>
          <w:rFonts w:eastAsiaTheme="minorEastAsia"/>
          <w:lang w:val="en-GB" w:eastAsia="zh-CN"/>
        </w:rPr>
        <w:fldChar w:fldCharType="separate"/>
      </w:r>
      <w:r w:rsidR="00917FDE">
        <w:rPr>
          <w:rFonts w:eastAsiaTheme="minorEastAsia"/>
          <w:lang w:val="en-GB" w:eastAsia="zh-CN"/>
        </w:rPr>
        <w:t>[3]</w:t>
      </w:r>
      <w:r w:rsidR="0062388E">
        <w:rPr>
          <w:rFonts w:eastAsiaTheme="minorEastAsia"/>
          <w:lang w:val="en-GB" w:eastAsia="zh-CN"/>
        </w:rPr>
        <w:fldChar w:fldCharType="end"/>
      </w:r>
      <w:r w:rsidR="00AB3F30">
        <w:rPr>
          <w:rFonts w:eastAsiaTheme="minorEastAsia" w:hint="eastAsia"/>
          <w:lang w:val="en-GB" w:eastAsia="zh-CN"/>
        </w:rPr>
        <w:t xml:space="preserve">. Before RAN2#128 meeting, the reply LS </w:t>
      </w:r>
      <w:r w:rsidR="00FE4483" w:rsidRPr="00FE4483">
        <w:rPr>
          <w:rFonts w:eastAsiaTheme="minorEastAsia"/>
          <w:lang w:val="en-GB" w:eastAsia="zh-CN"/>
        </w:rPr>
        <w:t xml:space="preserve">are excerpted below </w:t>
      </w:r>
      <w:r w:rsidR="00FE4483">
        <w:rPr>
          <w:rFonts w:eastAsiaTheme="minorEastAsia"/>
          <w:lang w:val="en-GB" w:eastAsia="zh-CN"/>
        </w:rPr>
        <w:fldChar w:fldCharType="begin"/>
      </w:r>
      <w:r w:rsidR="00FE4483">
        <w:rPr>
          <w:rFonts w:eastAsiaTheme="minorEastAsia"/>
          <w:lang w:val="en-GB" w:eastAsia="zh-CN"/>
        </w:rPr>
        <w:instrText xml:space="preserve"> </w:instrText>
      </w:r>
      <w:r w:rsidR="00FE4483">
        <w:rPr>
          <w:rFonts w:eastAsiaTheme="minorEastAsia" w:hint="eastAsia"/>
          <w:lang w:val="en-GB" w:eastAsia="zh-CN"/>
        </w:rPr>
        <w:instrText>REF _Ref188271285 \r \h</w:instrText>
      </w:r>
      <w:r w:rsidR="00FE4483">
        <w:rPr>
          <w:rFonts w:eastAsiaTheme="minorEastAsia"/>
          <w:lang w:val="en-GB" w:eastAsia="zh-CN"/>
        </w:rPr>
        <w:instrText xml:space="preserve"> </w:instrText>
      </w:r>
      <w:r w:rsidR="00FE4483">
        <w:rPr>
          <w:rFonts w:eastAsiaTheme="minorEastAsia"/>
          <w:lang w:val="en-GB" w:eastAsia="zh-CN"/>
        </w:rPr>
      </w:r>
      <w:r w:rsidR="00FE4483">
        <w:rPr>
          <w:rFonts w:eastAsiaTheme="minorEastAsia"/>
          <w:lang w:val="en-GB" w:eastAsia="zh-CN"/>
        </w:rPr>
        <w:fldChar w:fldCharType="separate"/>
      </w:r>
      <w:r w:rsidR="00917FDE">
        <w:rPr>
          <w:rFonts w:eastAsiaTheme="minorEastAsia"/>
          <w:lang w:val="en-GB" w:eastAsia="zh-CN"/>
        </w:rPr>
        <w:t>[4]</w:t>
      </w:r>
      <w:r w:rsidR="00FE4483">
        <w:rPr>
          <w:rFonts w:eastAsiaTheme="minorEastAsia"/>
          <w:lang w:val="en-GB" w:eastAsia="zh-CN"/>
        </w:rPr>
        <w:fldChar w:fldCharType="end"/>
      </w:r>
      <w:r w:rsidR="00FE4483">
        <w:rPr>
          <w:rFonts w:eastAsiaTheme="minorEastAsia" w:hint="eastAsia"/>
          <w:lang w:val="en-GB" w:eastAsia="zh-CN"/>
        </w:rPr>
        <w:t xml:space="preserve"> :</w:t>
      </w:r>
    </w:p>
    <w:p w14:paraId="73CEA9C3" w14:textId="58D70FE6" w:rsidR="00FE4483" w:rsidRDefault="00FE4483" w:rsidP="00194C3E">
      <w:pPr>
        <w:pStyle w:val="a0"/>
        <w:rPr>
          <w:rFonts w:eastAsiaTheme="minorEastAsia"/>
          <w:lang w:val="en-GB" w:eastAsia="zh-CN"/>
        </w:rPr>
      </w:pPr>
      <w:r w:rsidRPr="00FE4483">
        <w:rPr>
          <w:rFonts w:eastAsiaTheme="minorEastAsia"/>
          <w:noProof/>
          <w:lang w:val="en-GB" w:eastAsia="zh-CN"/>
        </w:rPr>
        <mc:AlternateContent>
          <mc:Choice Requires="wps">
            <w:drawing>
              <wp:inline distT="0" distB="0" distL="0" distR="0" wp14:anchorId="4D89D9F9" wp14:editId="4A955F2B">
                <wp:extent cx="5269417" cy="1599117"/>
                <wp:effectExtent l="0" t="0" r="2667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9417" cy="1599117"/>
                        </a:xfrm>
                        <a:prstGeom prst="rect">
                          <a:avLst/>
                        </a:prstGeom>
                        <a:solidFill>
                          <a:srgbClr val="FFFFFF"/>
                        </a:solidFill>
                        <a:ln w="9525">
                          <a:solidFill>
                            <a:srgbClr val="000000"/>
                          </a:solidFill>
                          <a:miter lim="800000"/>
                          <a:headEnd/>
                          <a:tailEnd/>
                        </a:ln>
                      </wps:spPr>
                      <wps:txbx>
                        <w:txbxContent>
                          <w:p w14:paraId="60E164B5" w14:textId="50D71228" w:rsidR="00FE4483" w:rsidRDefault="00FE4483" w:rsidP="00FE4483">
                            <w:r>
                              <w:t xml:space="preserve">The SA4 reply is as follows: </w:t>
                            </w:r>
                          </w:p>
                          <w:p w14:paraId="41E15F47" w14:textId="77777777" w:rsidR="00FE4483" w:rsidRDefault="00FE4483" w:rsidP="00FE4483">
                            <w:r w:rsidRPr="005F57ED">
                              <w:rPr>
                                <w:highlight w:val="green"/>
                              </w:rPr>
                              <w:t>The range varies from 100kbps to 40Mbps</w:t>
                            </w:r>
                            <w:r>
                              <w:t xml:space="preserve">. The numbers are based on the SA4 traffic characteristics study for XR services documented in 3GPP TR 26.926. Specifically, for XR split rendering and cloud gaming, a typical uplink data rate is 200 kbps. For AR conversational, a typical uplink data rate is 20Mbps.  </w:t>
                            </w:r>
                          </w:p>
                          <w:p w14:paraId="5177B3FA" w14:textId="1CB7C396" w:rsidR="00FE4483" w:rsidRDefault="00FE4483" w:rsidP="00FE4483">
                            <w:r>
                              <w:t xml:space="preserve">The granularity varies among existing data rate adaptation algorithms, and it can be as small as 1% for some algorithms (e.g., transport-wide congestion control as documented in 3GPP TR 26.822), yet also coarser for other algorithms (e.g., video codecs that can adapt to a given target bit rate constraint). From an application perspective, </w:t>
                            </w:r>
                            <w:r w:rsidRPr="005F57ED">
                              <w:rPr>
                                <w:highlight w:val="green"/>
                              </w:rPr>
                              <w:t>finer granularity, e.g., 1%, is generally preferred, if possible</w:t>
                            </w:r>
                            <w:r>
                              <w:t>, but coarser granularity may also be sufficient, e.g., 10%.</w:t>
                            </w:r>
                          </w:p>
                        </w:txbxContent>
                      </wps:txbx>
                      <wps:bodyPr rot="0" vert="horz" wrap="square" lIns="91440" tIns="45720" rIns="91440" bIns="45720" anchor="t" anchorCtr="0">
                        <a:noAutofit/>
                      </wps:bodyPr>
                    </wps:wsp>
                  </a:graphicData>
                </a:graphic>
              </wp:inline>
            </w:drawing>
          </mc:Choice>
          <mc:Fallback>
            <w:pict>
              <v:shape w14:anchorId="4D89D9F9" id="_x0000_s1027" type="#_x0000_t202" style="width:414.9pt;height:12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">
                <v:textbox>
                  <w:txbxContent>
                    <w:p w14:paraId="60E164B5" w14:textId="50D71228" w:rsidR="00FE4483" w:rsidRDefault="00FE4483" w:rsidP="00FE4483">
                      <w:r>
                        <w:t xml:space="preserve">The SA4 reply is as follows: </w:t>
                      </w:r>
                    </w:p>
                    <w:p w14:paraId="41E15F47" w14:textId="77777777" w:rsidR="00FE4483" w:rsidRDefault="00FE4483" w:rsidP="00FE4483">
                      <w:r w:rsidRPr="005F57ED">
                        <w:rPr>
                          <w:highlight w:val="green"/>
                        </w:rPr>
                        <w:t>The range varies from 100kbps to 40Mbps</w:t>
                      </w:r>
                      <w:r>
                        <w:t xml:space="preserve">. The numbers are based on the SA4 traffic characteristics study for XR services documented in 3GPP TR 26.926. Specifically, for XR split rendering and cloud gaming, a typical uplink data rate is 200 kbps. For AR conversational, a typical uplink data rate is 20Mbps.  </w:t>
                      </w:r>
                    </w:p>
                    <w:p w14:paraId="5177B3FA" w14:textId="1CB7C396" w:rsidR="00FE4483" w:rsidRDefault="00FE4483" w:rsidP="00FE4483">
                      <w:r>
                        <w:t xml:space="preserve">The granularity varies among existing data rate adaptation algorithms, and it can be as small as 1% for some algorithms (e.g., transport-wide congestion control as documented in 3GPP TR 26.822), yet also coarser for other algorithms (e.g., video codecs that can adapt to a given target bit rate constraint). From an application perspective, </w:t>
                      </w:r>
                      <w:r w:rsidRPr="005F57ED">
                        <w:rPr>
                          <w:highlight w:val="green"/>
                        </w:rPr>
                        <w:t>finer granularity, e.g., 1%, is generally preferred, if possible</w:t>
                      </w:r>
                      <w:r>
                        <w:t>, but coarser granularity may also be sufficient, e.g., 10%.</w:t>
                      </w:r>
                    </w:p>
                  </w:txbxContent>
                </v:textbox>
                <w10:anchorlock/>
              </v:shape>
            </w:pict>
          </mc:Fallback>
        </mc:AlternateContent>
      </w:r>
    </w:p>
    <w:p w14:paraId="093A1660" w14:textId="2ADE7878" w:rsidR="00695106" w:rsidRDefault="00FE4483">
      <w:pPr>
        <w:pStyle w:val="a0"/>
        <w:rPr>
          <w:rFonts w:eastAsiaTheme="minorEastAsia"/>
          <w:lang w:val="en-GB" w:eastAsia="zh-CN"/>
        </w:rPr>
      </w:pPr>
      <w:r>
        <w:rPr>
          <w:rFonts w:eastAsiaTheme="minorEastAsia" w:hint="eastAsia"/>
          <w:lang w:val="en-GB" w:eastAsia="zh-CN"/>
        </w:rPr>
        <w:t xml:space="preserve">With the green marked part above, it is </w:t>
      </w:r>
      <w:r w:rsidR="00DC0A76">
        <w:rPr>
          <w:rFonts w:eastAsiaTheme="minorEastAsia" w:hint="eastAsia"/>
          <w:lang w:val="en-GB" w:eastAsia="zh-CN"/>
        </w:rPr>
        <w:t>cleared</w:t>
      </w:r>
      <w:r>
        <w:rPr>
          <w:rFonts w:eastAsiaTheme="minorEastAsia" w:hint="eastAsia"/>
          <w:lang w:val="en-GB" w:eastAsia="zh-CN"/>
        </w:rPr>
        <w:t xml:space="preserve"> that the appropriate range for XR service is from 100kbps to 40Mbps, </w:t>
      </w:r>
      <w:r w:rsidR="00DF155B">
        <w:rPr>
          <w:rFonts w:eastAsiaTheme="minorEastAsia" w:hint="eastAsia"/>
          <w:lang w:val="en-GB" w:eastAsia="zh-CN"/>
        </w:rPr>
        <w:t xml:space="preserve">and the granularity of uplink bit rates is generally preferred as 1%. </w:t>
      </w:r>
      <w:r w:rsidR="00B42A13">
        <w:rPr>
          <w:rFonts w:eastAsiaTheme="minorEastAsia" w:hint="eastAsia"/>
          <w:lang w:val="en-GB" w:eastAsia="zh-CN"/>
        </w:rPr>
        <w:t>Hence</w:t>
      </w:r>
      <w:r w:rsidR="00DE7982">
        <w:rPr>
          <w:rFonts w:eastAsiaTheme="minorEastAsia" w:hint="eastAsia"/>
          <w:lang w:val="en-GB" w:eastAsia="zh-CN"/>
        </w:rPr>
        <w:t xml:space="preserve">, </w:t>
      </w:r>
      <w:r w:rsidR="00695106">
        <w:rPr>
          <w:rFonts w:eastAsiaTheme="minorEastAsia" w:hint="eastAsia"/>
          <w:lang w:val="en-GB" w:eastAsia="zh-CN"/>
        </w:rPr>
        <w:t xml:space="preserve">40Mbps*1%=400kbps is the preferred interval. </w:t>
      </w:r>
      <w:r w:rsidR="00917FDE">
        <w:rPr>
          <w:rFonts w:eastAsiaTheme="minorEastAsia" w:hint="eastAsia"/>
          <w:lang w:val="en-GB" w:eastAsia="zh-CN"/>
        </w:rPr>
        <w:t>T</w:t>
      </w:r>
      <w:r w:rsidR="00695106">
        <w:rPr>
          <w:rFonts w:eastAsiaTheme="minorEastAsia" w:hint="eastAsia"/>
          <w:lang w:val="en-GB" w:eastAsia="zh-CN"/>
        </w:rPr>
        <w:t xml:space="preserve">he below </w:t>
      </w:r>
      <w:r w:rsidR="00CE42BF">
        <w:rPr>
          <w:rFonts w:eastAsiaTheme="minorEastAsia" w:hint="eastAsia"/>
          <w:lang w:val="en-GB" w:eastAsia="zh-CN"/>
        </w:rPr>
        <w:t xml:space="preserve">new </w:t>
      </w:r>
      <w:r w:rsidR="00A61330">
        <w:rPr>
          <w:rFonts w:eastAsiaTheme="minorEastAsia"/>
          <w:lang w:val="en-GB" w:eastAsia="zh-CN"/>
        </w:rPr>
        <w:t>table</w:t>
      </w:r>
      <w:r w:rsidR="00695106">
        <w:rPr>
          <w:rFonts w:eastAsiaTheme="minorEastAsia" w:hint="eastAsia"/>
          <w:lang w:val="en-GB" w:eastAsia="zh-CN"/>
        </w:rPr>
        <w:t xml:space="preserve"> </w:t>
      </w:r>
      <w:r w:rsidR="00CE42BF">
        <w:rPr>
          <w:rFonts w:eastAsiaTheme="minorEastAsia" w:hint="eastAsia"/>
          <w:lang w:val="en-GB" w:eastAsia="zh-CN"/>
        </w:rPr>
        <w:t xml:space="preserve">(7 bits) </w:t>
      </w:r>
      <w:r w:rsidR="00695106">
        <w:rPr>
          <w:rFonts w:eastAsiaTheme="minorEastAsia" w:hint="eastAsia"/>
          <w:lang w:val="en-GB" w:eastAsia="zh-CN"/>
        </w:rPr>
        <w:t>is design</w:t>
      </w:r>
      <w:r w:rsidR="006507E2">
        <w:rPr>
          <w:rFonts w:eastAsiaTheme="minorEastAsia" w:hint="eastAsia"/>
          <w:lang w:val="en-GB" w:eastAsia="zh-CN"/>
        </w:rPr>
        <w:t>ed</w:t>
      </w:r>
      <w:r w:rsidR="00695106">
        <w:rPr>
          <w:rFonts w:eastAsiaTheme="minorEastAsia" w:hint="eastAsia"/>
          <w:lang w:val="en-GB" w:eastAsia="zh-CN"/>
        </w:rPr>
        <w:t xml:space="preserve"> to handle the R</w:t>
      </w:r>
      <w:r w:rsidR="00B50D9A">
        <w:rPr>
          <w:rFonts w:eastAsiaTheme="minorEastAsia" w:hint="eastAsia"/>
          <w:lang w:val="en-GB" w:eastAsia="zh-CN"/>
        </w:rPr>
        <w:t>el-</w:t>
      </w:r>
      <w:r w:rsidR="00695106">
        <w:rPr>
          <w:rFonts w:eastAsiaTheme="minorEastAsia" w:hint="eastAsia"/>
          <w:lang w:val="en-GB" w:eastAsia="zh-CN"/>
        </w:rPr>
        <w:t>19 XR rate control case:</w:t>
      </w:r>
    </w:p>
    <w:tbl>
      <w:tblPr>
        <w:tblW w:w="8272" w:type="dxa"/>
        <w:tblInd w:w="118" w:type="dxa"/>
        <w:tblLook w:val="04A0" w:firstRow="1" w:lastRow="0" w:firstColumn="1" w:lastColumn="0" w:noHBand="0" w:noVBand="1"/>
      </w:tblPr>
      <w:tblGrid>
        <w:gridCol w:w="739"/>
        <w:gridCol w:w="1329"/>
        <w:gridCol w:w="739"/>
        <w:gridCol w:w="1329"/>
        <w:gridCol w:w="739"/>
        <w:gridCol w:w="1329"/>
        <w:gridCol w:w="739"/>
        <w:gridCol w:w="1329"/>
      </w:tblGrid>
      <w:tr w:rsidR="00A645A5" w:rsidRPr="00A946DA" w14:paraId="271CF1CB" w14:textId="77777777" w:rsidTr="005F57ED">
        <w:trPr>
          <w:trHeight w:val="498"/>
        </w:trPr>
        <w:tc>
          <w:tcPr>
            <w:tcW w:w="739"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F1C5B7E" w14:textId="77777777" w:rsidR="00A946DA" w:rsidRPr="005F57ED" w:rsidRDefault="00A946DA" w:rsidP="00A946DA">
            <w:pPr>
              <w:jc w:val="center"/>
              <w:rPr>
                <w:rFonts w:ascii="Arial" w:eastAsia="等线" w:hAnsi="Arial" w:cs="Arial"/>
                <w:b/>
                <w:bCs/>
                <w:color w:val="000000"/>
                <w:sz w:val="13"/>
                <w:szCs w:val="13"/>
                <w:lang w:eastAsia="zh-CN"/>
              </w:rPr>
            </w:pPr>
            <w:r w:rsidRPr="005F57ED">
              <w:rPr>
                <w:rFonts w:ascii="Arial" w:eastAsia="等线" w:hAnsi="Arial" w:cs="Arial"/>
                <w:b/>
                <w:bCs/>
                <w:color w:val="000000"/>
                <w:sz w:val="13"/>
                <w:szCs w:val="13"/>
                <w:lang w:eastAsia="zh-CN"/>
              </w:rPr>
              <w:t>Index</w:t>
            </w:r>
          </w:p>
        </w:tc>
        <w:tc>
          <w:tcPr>
            <w:tcW w:w="1329" w:type="dxa"/>
            <w:tcBorders>
              <w:top w:val="single" w:sz="8" w:space="0" w:color="auto"/>
              <w:left w:val="nil"/>
              <w:bottom w:val="single" w:sz="4" w:space="0" w:color="auto"/>
              <w:right w:val="single" w:sz="4" w:space="0" w:color="auto"/>
            </w:tcBorders>
            <w:shd w:val="clear" w:color="auto" w:fill="auto"/>
            <w:vAlign w:val="center"/>
            <w:hideMark/>
          </w:tcPr>
          <w:p w14:paraId="5DEECFDB" w14:textId="6E733565" w:rsidR="00A946DA" w:rsidRPr="005F57ED" w:rsidRDefault="00A946DA" w:rsidP="00A946DA">
            <w:pPr>
              <w:jc w:val="center"/>
              <w:rPr>
                <w:rFonts w:ascii="Arial" w:eastAsia="等线" w:hAnsi="Arial" w:cs="Arial"/>
                <w:b/>
                <w:bCs/>
                <w:color w:val="000000"/>
                <w:sz w:val="13"/>
                <w:szCs w:val="13"/>
                <w:lang w:eastAsia="zh-CN"/>
              </w:rPr>
            </w:pPr>
            <w:r w:rsidRPr="005F57ED">
              <w:rPr>
                <w:rFonts w:ascii="Arial" w:eastAsia="等线" w:hAnsi="Arial" w:cs="Arial"/>
                <w:b/>
                <w:bCs/>
                <w:color w:val="000000"/>
                <w:sz w:val="13"/>
                <w:szCs w:val="13"/>
                <w:lang w:eastAsia="zh-CN"/>
              </w:rPr>
              <w:t>Recommended Bit Rate value [kbit/s]</w:t>
            </w:r>
          </w:p>
        </w:tc>
        <w:tc>
          <w:tcPr>
            <w:tcW w:w="739" w:type="dxa"/>
            <w:tcBorders>
              <w:top w:val="single" w:sz="8" w:space="0" w:color="auto"/>
              <w:left w:val="nil"/>
              <w:bottom w:val="single" w:sz="4" w:space="0" w:color="auto"/>
              <w:right w:val="single" w:sz="4" w:space="0" w:color="auto"/>
            </w:tcBorders>
            <w:shd w:val="clear" w:color="auto" w:fill="auto"/>
            <w:vAlign w:val="center"/>
            <w:hideMark/>
          </w:tcPr>
          <w:p w14:paraId="2DA8F1A8" w14:textId="77777777" w:rsidR="00A946DA" w:rsidRPr="005F57ED" w:rsidRDefault="00A946DA" w:rsidP="00A946DA">
            <w:pPr>
              <w:jc w:val="center"/>
              <w:rPr>
                <w:rFonts w:ascii="Arial" w:eastAsia="等线" w:hAnsi="Arial" w:cs="Arial"/>
                <w:b/>
                <w:bCs/>
                <w:color w:val="000000"/>
                <w:sz w:val="13"/>
                <w:szCs w:val="13"/>
                <w:lang w:eastAsia="zh-CN"/>
              </w:rPr>
            </w:pPr>
            <w:r w:rsidRPr="005F57ED">
              <w:rPr>
                <w:rFonts w:ascii="Arial" w:eastAsia="等线" w:hAnsi="Arial" w:cs="Arial"/>
                <w:b/>
                <w:bCs/>
                <w:color w:val="000000"/>
                <w:sz w:val="13"/>
                <w:szCs w:val="13"/>
                <w:lang w:eastAsia="zh-CN"/>
              </w:rPr>
              <w:t>Index</w:t>
            </w:r>
          </w:p>
        </w:tc>
        <w:tc>
          <w:tcPr>
            <w:tcW w:w="1329" w:type="dxa"/>
            <w:tcBorders>
              <w:top w:val="single" w:sz="8" w:space="0" w:color="auto"/>
              <w:left w:val="nil"/>
              <w:bottom w:val="single" w:sz="4" w:space="0" w:color="auto"/>
              <w:right w:val="single" w:sz="4" w:space="0" w:color="auto"/>
            </w:tcBorders>
            <w:shd w:val="clear" w:color="auto" w:fill="auto"/>
            <w:vAlign w:val="center"/>
            <w:hideMark/>
          </w:tcPr>
          <w:p w14:paraId="454B7F7D" w14:textId="54D45EDF" w:rsidR="00A946DA" w:rsidRPr="005F57ED" w:rsidRDefault="00A946DA" w:rsidP="00A946DA">
            <w:pPr>
              <w:jc w:val="center"/>
              <w:rPr>
                <w:rFonts w:ascii="Arial" w:eastAsia="等线" w:hAnsi="Arial" w:cs="Arial"/>
                <w:b/>
                <w:bCs/>
                <w:color w:val="000000"/>
                <w:sz w:val="13"/>
                <w:szCs w:val="13"/>
                <w:lang w:eastAsia="zh-CN"/>
              </w:rPr>
            </w:pPr>
            <w:r w:rsidRPr="005F57ED">
              <w:rPr>
                <w:rFonts w:ascii="Arial" w:eastAsia="等线" w:hAnsi="Arial" w:cs="Arial"/>
                <w:b/>
                <w:bCs/>
                <w:color w:val="000000"/>
                <w:sz w:val="13"/>
                <w:szCs w:val="13"/>
                <w:lang w:eastAsia="zh-CN"/>
              </w:rPr>
              <w:t>Recommended Bit Rate value [kbit/s]</w:t>
            </w:r>
          </w:p>
        </w:tc>
        <w:tc>
          <w:tcPr>
            <w:tcW w:w="739" w:type="dxa"/>
            <w:tcBorders>
              <w:top w:val="single" w:sz="8" w:space="0" w:color="auto"/>
              <w:left w:val="nil"/>
              <w:bottom w:val="single" w:sz="4" w:space="0" w:color="auto"/>
              <w:right w:val="single" w:sz="4" w:space="0" w:color="auto"/>
            </w:tcBorders>
            <w:shd w:val="clear" w:color="auto" w:fill="auto"/>
            <w:vAlign w:val="center"/>
            <w:hideMark/>
          </w:tcPr>
          <w:p w14:paraId="7C66C6DB" w14:textId="77777777" w:rsidR="00A946DA" w:rsidRPr="005F57ED" w:rsidRDefault="00A946DA" w:rsidP="00A946DA">
            <w:pPr>
              <w:jc w:val="center"/>
              <w:rPr>
                <w:rFonts w:ascii="Arial" w:eastAsia="等线" w:hAnsi="Arial" w:cs="Arial"/>
                <w:b/>
                <w:bCs/>
                <w:color w:val="000000"/>
                <w:sz w:val="13"/>
                <w:szCs w:val="13"/>
                <w:lang w:eastAsia="zh-CN"/>
              </w:rPr>
            </w:pPr>
            <w:r w:rsidRPr="005F57ED">
              <w:rPr>
                <w:rFonts w:ascii="Arial" w:eastAsia="等线" w:hAnsi="Arial" w:cs="Arial"/>
                <w:b/>
                <w:bCs/>
                <w:color w:val="000000"/>
                <w:sz w:val="13"/>
                <w:szCs w:val="13"/>
                <w:lang w:eastAsia="zh-CN"/>
              </w:rPr>
              <w:t>Index</w:t>
            </w:r>
          </w:p>
        </w:tc>
        <w:tc>
          <w:tcPr>
            <w:tcW w:w="1329" w:type="dxa"/>
            <w:tcBorders>
              <w:top w:val="single" w:sz="8" w:space="0" w:color="auto"/>
              <w:left w:val="nil"/>
              <w:bottom w:val="single" w:sz="4" w:space="0" w:color="auto"/>
              <w:right w:val="single" w:sz="4" w:space="0" w:color="auto"/>
            </w:tcBorders>
            <w:shd w:val="clear" w:color="auto" w:fill="auto"/>
            <w:vAlign w:val="center"/>
            <w:hideMark/>
          </w:tcPr>
          <w:p w14:paraId="0DE7C7B5" w14:textId="72488286" w:rsidR="00A946DA" w:rsidRPr="005F57ED" w:rsidRDefault="00A946DA" w:rsidP="00A946DA">
            <w:pPr>
              <w:jc w:val="center"/>
              <w:rPr>
                <w:rFonts w:ascii="Arial" w:eastAsia="等线" w:hAnsi="Arial" w:cs="Arial"/>
                <w:b/>
                <w:bCs/>
                <w:color w:val="000000"/>
                <w:sz w:val="13"/>
                <w:szCs w:val="13"/>
                <w:lang w:eastAsia="zh-CN"/>
              </w:rPr>
            </w:pPr>
            <w:r w:rsidRPr="005F57ED">
              <w:rPr>
                <w:rFonts w:ascii="Arial" w:eastAsia="等线" w:hAnsi="Arial" w:cs="Arial"/>
                <w:b/>
                <w:bCs/>
                <w:color w:val="000000"/>
                <w:sz w:val="13"/>
                <w:szCs w:val="13"/>
                <w:lang w:eastAsia="zh-CN"/>
              </w:rPr>
              <w:t>Recommended Bit Rate value [kbit/s]</w:t>
            </w:r>
          </w:p>
        </w:tc>
        <w:tc>
          <w:tcPr>
            <w:tcW w:w="739" w:type="dxa"/>
            <w:tcBorders>
              <w:top w:val="single" w:sz="8" w:space="0" w:color="auto"/>
              <w:left w:val="nil"/>
              <w:bottom w:val="single" w:sz="4" w:space="0" w:color="auto"/>
              <w:right w:val="single" w:sz="4" w:space="0" w:color="auto"/>
            </w:tcBorders>
            <w:shd w:val="clear" w:color="auto" w:fill="auto"/>
            <w:vAlign w:val="center"/>
            <w:hideMark/>
          </w:tcPr>
          <w:p w14:paraId="0FE51FE2" w14:textId="77777777" w:rsidR="00A946DA" w:rsidRPr="005F57ED" w:rsidRDefault="00A946DA" w:rsidP="00A946DA">
            <w:pPr>
              <w:jc w:val="center"/>
              <w:rPr>
                <w:rFonts w:ascii="Arial" w:eastAsia="等线" w:hAnsi="Arial" w:cs="Arial"/>
                <w:b/>
                <w:bCs/>
                <w:color w:val="000000"/>
                <w:sz w:val="13"/>
                <w:szCs w:val="13"/>
                <w:lang w:eastAsia="zh-CN"/>
              </w:rPr>
            </w:pPr>
            <w:r w:rsidRPr="005F57ED">
              <w:rPr>
                <w:rFonts w:ascii="Arial" w:eastAsia="等线" w:hAnsi="Arial" w:cs="Arial"/>
                <w:b/>
                <w:bCs/>
                <w:color w:val="000000"/>
                <w:sz w:val="13"/>
                <w:szCs w:val="13"/>
                <w:lang w:eastAsia="zh-CN"/>
              </w:rPr>
              <w:t>Index</w:t>
            </w:r>
          </w:p>
        </w:tc>
        <w:tc>
          <w:tcPr>
            <w:tcW w:w="1329" w:type="dxa"/>
            <w:tcBorders>
              <w:top w:val="single" w:sz="8" w:space="0" w:color="auto"/>
              <w:left w:val="nil"/>
              <w:bottom w:val="single" w:sz="4" w:space="0" w:color="auto"/>
              <w:right w:val="single" w:sz="8" w:space="0" w:color="auto"/>
            </w:tcBorders>
            <w:shd w:val="clear" w:color="auto" w:fill="auto"/>
            <w:vAlign w:val="center"/>
            <w:hideMark/>
          </w:tcPr>
          <w:p w14:paraId="6404CC42" w14:textId="62C45600" w:rsidR="00A946DA" w:rsidRPr="005F57ED" w:rsidRDefault="00A946DA" w:rsidP="00A946DA">
            <w:pPr>
              <w:jc w:val="center"/>
              <w:rPr>
                <w:rFonts w:ascii="Arial" w:eastAsia="等线" w:hAnsi="Arial" w:cs="Arial"/>
                <w:b/>
                <w:bCs/>
                <w:color w:val="000000"/>
                <w:sz w:val="13"/>
                <w:szCs w:val="13"/>
                <w:lang w:eastAsia="zh-CN"/>
              </w:rPr>
            </w:pPr>
            <w:r w:rsidRPr="005F57ED">
              <w:rPr>
                <w:rFonts w:ascii="Arial" w:eastAsia="等线" w:hAnsi="Arial" w:cs="Arial"/>
                <w:b/>
                <w:bCs/>
                <w:color w:val="000000"/>
                <w:sz w:val="13"/>
                <w:szCs w:val="13"/>
                <w:lang w:eastAsia="zh-CN"/>
              </w:rPr>
              <w:t>Recommended Bit Rate value [kbit/s]</w:t>
            </w:r>
          </w:p>
        </w:tc>
      </w:tr>
      <w:tr w:rsidR="00A645A5" w:rsidRPr="00A946DA" w14:paraId="7D035FDB"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vAlign w:val="center"/>
            <w:hideMark/>
          </w:tcPr>
          <w:p w14:paraId="1C74CF37"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0</w:t>
            </w:r>
          </w:p>
        </w:tc>
        <w:tc>
          <w:tcPr>
            <w:tcW w:w="1329" w:type="dxa"/>
            <w:tcBorders>
              <w:top w:val="nil"/>
              <w:left w:val="nil"/>
              <w:bottom w:val="single" w:sz="4" w:space="0" w:color="auto"/>
              <w:right w:val="single" w:sz="4" w:space="0" w:color="auto"/>
            </w:tcBorders>
            <w:shd w:val="clear" w:color="auto" w:fill="auto"/>
            <w:vAlign w:val="center"/>
            <w:hideMark/>
          </w:tcPr>
          <w:p w14:paraId="483E3BFC" w14:textId="401C7771"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 xml:space="preserve">Note </w:t>
            </w:r>
          </w:p>
        </w:tc>
        <w:tc>
          <w:tcPr>
            <w:tcW w:w="739" w:type="dxa"/>
            <w:tcBorders>
              <w:top w:val="nil"/>
              <w:left w:val="nil"/>
              <w:bottom w:val="single" w:sz="4" w:space="0" w:color="auto"/>
              <w:right w:val="single" w:sz="4" w:space="0" w:color="auto"/>
            </w:tcBorders>
            <w:shd w:val="clear" w:color="auto" w:fill="auto"/>
            <w:noWrap/>
            <w:vAlign w:val="center"/>
            <w:hideMark/>
          </w:tcPr>
          <w:p w14:paraId="1690059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32</w:t>
            </w:r>
          </w:p>
        </w:tc>
        <w:tc>
          <w:tcPr>
            <w:tcW w:w="1329" w:type="dxa"/>
            <w:tcBorders>
              <w:top w:val="nil"/>
              <w:left w:val="nil"/>
              <w:bottom w:val="single" w:sz="4" w:space="0" w:color="auto"/>
              <w:right w:val="single" w:sz="4" w:space="0" w:color="auto"/>
            </w:tcBorders>
            <w:shd w:val="clear" w:color="auto" w:fill="auto"/>
            <w:noWrap/>
            <w:vAlign w:val="bottom"/>
            <w:hideMark/>
          </w:tcPr>
          <w:p w14:paraId="2E326F6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12500</w:t>
            </w:r>
          </w:p>
        </w:tc>
        <w:tc>
          <w:tcPr>
            <w:tcW w:w="739" w:type="dxa"/>
            <w:tcBorders>
              <w:top w:val="nil"/>
              <w:left w:val="nil"/>
              <w:bottom w:val="single" w:sz="4" w:space="0" w:color="auto"/>
              <w:right w:val="single" w:sz="4" w:space="0" w:color="auto"/>
            </w:tcBorders>
            <w:shd w:val="clear" w:color="auto" w:fill="auto"/>
            <w:noWrap/>
            <w:vAlign w:val="bottom"/>
            <w:hideMark/>
          </w:tcPr>
          <w:p w14:paraId="5FE8B98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64</w:t>
            </w:r>
          </w:p>
        </w:tc>
        <w:tc>
          <w:tcPr>
            <w:tcW w:w="1329" w:type="dxa"/>
            <w:tcBorders>
              <w:top w:val="nil"/>
              <w:left w:val="nil"/>
              <w:bottom w:val="single" w:sz="4" w:space="0" w:color="auto"/>
              <w:right w:val="single" w:sz="4" w:space="0" w:color="auto"/>
            </w:tcBorders>
            <w:shd w:val="clear" w:color="auto" w:fill="auto"/>
            <w:noWrap/>
            <w:vAlign w:val="bottom"/>
            <w:hideMark/>
          </w:tcPr>
          <w:p w14:paraId="7E234F14"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25300</w:t>
            </w:r>
          </w:p>
        </w:tc>
        <w:tc>
          <w:tcPr>
            <w:tcW w:w="739" w:type="dxa"/>
            <w:tcBorders>
              <w:top w:val="nil"/>
              <w:left w:val="nil"/>
              <w:bottom w:val="single" w:sz="4" w:space="0" w:color="auto"/>
              <w:right w:val="single" w:sz="4" w:space="0" w:color="auto"/>
            </w:tcBorders>
            <w:shd w:val="clear" w:color="auto" w:fill="auto"/>
            <w:noWrap/>
            <w:vAlign w:val="bottom"/>
            <w:hideMark/>
          </w:tcPr>
          <w:p w14:paraId="2B9DB1F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96</w:t>
            </w:r>
          </w:p>
        </w:tc>
        <w:tc>
          <w:tcPr>
            <w:tcW w:w="1329" w:type="dxa"/>
            <w:tcBorders>
              <w:top w:val="nil"/>
              <w:left w:val="nil"/>
              <w:bottom w:val="single" w:sz="4" w:space="0" w:color="auto"/>
              <w:right w:val="single" w:sz="8" w:space="0" w:color="auto"/>
            </w:tcBorders>
            <w:shd w:val="clear" w:color="auto" w:fill="auto"/>
            <w:noWrap/>
            <w:vAlign w:val="bottom"/>
            <w:hideMark/>
          </w:tcPr>
          <w:p w14:paraId="5BC0582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38100</w:t>
            </w:r>
          </w:p>
        </w:tc>
      </w:tr>
      <w:tr w:rsidR="005F57ED" w:rsidRPr="00A946DA" w14:paraId="58D8D319"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0581468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w:t>
            </w:r>
          </w:p>
        </w:tc>
        <w:tc>
          <w:tcPr>
            <w:tcW w:w="1329" w:type="dxa"/>
            <w:tcBorders>
              <w:top w:val="nil"/>
              <w:left w:val="nil"/>
              <w:bottom w:val="single" w:sz="4" w:space="0" w:color="auto"/>
              <w:right w:val="single" w:sz="4" w:space="0" w:color="auto"/>
            </w:tcBorders>
            <w:shd w:val="clear" w:color="auto" w:fill="auto"/>
            <w:noWrap/>
            <w:vAlign w:val="bottom"/>
            <w:hideMark/>
          </w:tcPr>
          <w:p w14:paraId="4B7B672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100</w:t>
            </w:r>
          </w:p>
        </w:tc>
        <w:tc>
          <w:tcPr>
            <w:tcW w:w="739" w:type="dxa"/>
            <w:tcBorders>
              <w:top w:val="nil"/>
              <w:left w:val="nil"/>
              <w:bottom w:val="single" w:sz="4" w:space="0" w:color="auto"/>
              <w:right w:val="single" w:sz="4" w:space="0" w:color="auto"/>
            </w:tcBorders>
            <w:shd w:val="clear" w:color="auto" w:fill="auto"/>
            <w:noWrap/>
            <w:vAlign w:val="center"/>
            <w:hideMark/>
          </w:tcPr>
          <w:p w14:paraId="5831599F"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33</w:t>
            </w:r>
          </w:p>
        </w:tc>
        <w:tc>
          <w:tcPr>
            <w:tcW w:w="1329" w:type="dxa"/>
            <w:tcBorders>
              <w:top w:val="nil"/>
              <w:left w:val="nil"/>
              <w:bottom w:val="single" w:sz="4" w:space="0" w:color="auto"/>
              <w:right w:val="single" w:sz="4" w:space="0" w:color="auto"/>
            </w:tcBorders>
            <w:shd w:val="clear" w:color="auto" w:fill="auto"/>
            <w:noWrap/>
            <w:vAlign w:val="bottom"/>
            <w:hideMark/>
          </w:tcPr>
          <w:p w14:paraId="78481EC5"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12900</w:t>
            </w:r>
          </w:p>
        </w:tc>
        <w:tc>
          <w:tcPr>
            <w:tcW w:w="739" w:type="dxa"/>
            <w:tcBorders>
              <w:top w:val="nil"/>
              <w:left w:val="nil"/>
              <w:bottom w:val="single" w:sz="4" w:space="0" w:color="auto"/>
              <w:right w:val="single" w:sz="4" w:space="0" w:color="auto"/>
            </w:tcBorders>
            <w:shd w:val="clear" w:color="auto" w:fill="auto"/>
            <w:noWrap/>
            <w:vAlign w:val="bottom"/>
            <w:hideMark/>
          </w:tcPr>
          <w:p w14:paraId="01D16EFF"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65</w:t>
            </w:r>
          </w:p>
        </w:tc>
        <w:tc>
          <w:tcPr>
            <w:tcW w:w="1329" w:type="dxa"/>
            <w:tcBorders>
              <w:top w:val="nil"/>
              <w:left w:val="nil"/>
              <w:bottom w:val="single" w:sz="4" w:space="0" w:color="auto"/>
              <w:right w:val="single" w:sz="4" w:space="0" w:color="auto"/>
            </w:tcBorders>
            <w:shd w:val="clear" w:color="auto" w:fill="auto"/>
            <w:noWrap/>
            <w:vAlign w:val="bottom"/>
            <w:hideMark/>
          </w:tcPr>
          <w:p w14:paraId="5A9BD0D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25700</w:t>
            </w:r>
          </w:p>
        </w:tc>
        <w:tc>
          <w:tcPr>
            <w:tcW w:w="739" w:type="dxa"/>
            <w:tcBorders>
              <w:top w:val="nil"/>
              <w:left w:val="nil"/>
              <w:bottom w:val="single" w:sz="4" w:space="0" w:color="auto"/>
              <w:right w:val="single" w:sz="4" w:space="0" w:color="auto"/>
            </w:tcBorders>
            <w:shd w:val="clear" w:color="auto" w:fill="auto"/>
            <w:noWrap/>
            <w:vAlign w:val="bottom"/>
            <w:hideMark/>
          </w:tcPr>
          <w:p w14:paraId="26A7249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97</w:t>
            </w:r>
          </w:p>
        </w:tc>
        <w:tc>
          <w:tcPr>
            <w:tcW w:w="1329" w:type="dxa"/>
            <w:tcBorders>
              <w:top w:val="nil"/>
              <w:left w:val="nil"/>
              <w:bottom w:val="single" w:sz="4" w:space="0" w:color="auto"/>
              <w:right w:val="single" w:sz="8" w:space="0" w:color="auto"/>
            </w:tcBorders>
            <w:shd w:val="clear" w:color="auto" w:fill="auto"/>
            <w:noWrap/>
            <w:vAlign w:val="bottom"/>
            <w:hideMark/>
          </w:tcPr>
          <w:p w14:paraId="7533A1F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38500</w:t>
            </w:r>
          </w:p>
        </w:tc>
      </w:tr>
      <w:tr w:rsidR="005F57ED" w:rsidRPr="00A946DA" w14:paraId="3E593678"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11274E9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w:t>
            </w:r>
          </w:p>
        </w:tc>
        <w:tc>
          <w:tcPr>
            <w:tcW w:w="1329" w:type="dxa"/>
            <w:tcBorders>
              <w:top w:val="nil"/>
              <w:left w:val="nil"/>
              <w:bottom w:val="single" w:sz="4" w:space="0" w:color="auto"/>
              <w:right w:val="single" w:sz="4" w:space="0" w:color="auto"/>
            </w:tcBorders>
            <w:shd w:val="clear" w:color="auto" w:fill="auto"/>
            <w:noWrap/>
            <w:vAlign w:val="bottom"/>
            <w:hideMark/>
          </w:tcPr>
          <w:p w14:paraId="2BFF790F"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500</w:t>
            </w:r>
          </w:p>
        </w:tc>
        <w:tc>
          <w:tcPr>
            <w:tcW w:w="739" w:type="dxa"/>
            <w:tcBorders>
              <w:top w:val="nil"/>
              <w:left w:val="nil"/>
              <w:bottom w:val="single" w:sz="4" w:space="0" w:color="auto"/>
              <w:right w:val="single" w:sz="4" w:space="0" w:color="auto"/>
            </w:tcBorders>
            <w:shd w:val="clear" w:color="auto" w:fill="auto"/>
            <w:noWrap/>
            <w:vAlign w:val="center"/>
            <w:hideMark/>
          </w:tcPr>
          <w:p w14:paraId="02D40BBF"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34</w:t>
            </w:r>
          </w:p>
        </w:tc>
        <w:tc>
          <w:tcPr>
            <w:tcW w:w="1329" w:type="dxa"/>
            <w:tcBorders>
              <w:top w:val="nil"/>
              <w:left w:val="nil"/>
              <w:bottom w:val="single" w:sz="4" w:space="0" w:color="auto"/>
              <w:right w:val="single" w:sz="4" w:space="0" w:color="auto"/>
            </w:tcBorders>
            <w:shd w:val="clear" w:color="auto" w:fill="auto"/>
            <w:noWrap/>
            <w:vAlign w:val="bottom"/>
            <w:hideMark/>
          </w:tcPr>
          <w:p w14:paraId="1BD342F4"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13300</w:t>
            </w:r>
          </w:p>
        </w:tc>
        <w:tc>
          <w:tcPr>
            <w:tcW w:w="739" w:type="dxa"/>
            <w:tcBorders>
              <w:top w:val="nil"/>
              <w:left w:val="nil"/>
              <w:bottom w:val="single" w:sz="4" w:space="0" w:color="auto"/>
              <w:right w:val="single" w:sz="4" w:space="0" w:color="auto"/>
            </w:tcBorders>
            <w:shd w:val="clear" w:color="auto" w:fill="auto"/>
            <w:noWrap/>
            <w:vAlign w:val="bottom"/>
            <w:hideMark/>
          </w:tcPr>
          <w:p w14:paraId="12BC56B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66</w:t>
            </w:r>
          </w:p>
        </w:tc>
        <w:tc>
          <w:tcPr>
            <w:tcW w:w="1329" w:type="dxa"/>
            <w:tcBorders>
              <w:top w:val="nil"/>
              <w:left w:val="nil"/>
              <w:bottom w:val="single" w:sz="4" w:space="0" w:color="auto"/>
              <w:right w:val="single" w:sz="4" w:space="0" w:color="auto"/>
            </w:tcBorders>
            <w:shd w:val="clear" w:color="auto" w:fill="auto"/>
            <w:noWrap/>
            <w:vAlign w:val="bottom"/>
            <w:hideMark/>
          </w:tcPr>
          <w:p w14:paraId="5E56C32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26100</w:t>
            </w:r>
          </w:p>
        </w:tc>
        <w:tc>
          <w:tcPr>
            <w:tcW w:w="739" w:type="dxa"/>
            <w:tcBorders>
              <w:top w:val="nil"/>
              <w:left w:val="nil"/>
              <w:bottom w:val="single" w:sz="4" w:space="0" w:color="auto"/>
              <w:right w:val="single" w:sz="4" w:space="0" w:color="auto"/>
            </w:tcBorders>
            <w:shd w:val="clear" w:color="auto" w:fill="auto"/>
            <w:noWrap/>
            <w:vAlign w:val="bottom"/>
            <w:hideMark/>
          </w:tcPr>
          <w:p w14:paraId="41899CD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98</w:t>
            </w:r>
          </w:p>
        </w:tc>
        <w:tc>
          <w:tcPr>
            <w:tcW w:w="1329" w:type="dxa"/>
            <w:tcBorders>
              <w:top w:val="nil"/>
              <w:left w:val="nil"/>
              <w:bottom w:val="single" w:sz="4" w:space="0" w:color="auto"/>
              <w:right w:val="single" w:sz="8" w:space="0" w:color="auto"/>
            </w:tcBorders>
            <w:shd w:val="clear" w:color="auto" w:fill="auto"/>
            <w:noWrap/>
            <w:vAlign w:val="bottom"/>
            <w:hideMark/>
          </w:tcPr>
          <w:p w14:paraId="5753A12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38900</w:t>
            </w:r>
          </w:p>
        </w:tc>
      </w:tr>
      <w:tr w:rsidR="005F57ED" w:rsidRPr="00A946DA" w14:paraId="2BC55BD1"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7F8B7E5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w:t>
            </w:r>
          </w:p>
        </w:tc>
        <w:tc>
          <w:tcPr>
            <w:tcW w:w="1329" w:type="dxa"/>
            <w:tcBorders>
              <w:top w:val="nil"/>
              <w:left w:val="nil"/>
              <w:bottom w:val="single" w:sz="4" w:space="0" w:color="auto"/>
              <w:right w:val="single" w:sz="4" w:space="0" w:color="auto"/>
            </w:tcBorders>
            <w:shd w:val="clear" w:color="auto" w:fill="auto"/>
            <w:noWrap/>
            <w:vAlign w:val="bottom"/>
            <w:hideMark/>
          </w:tcPr>
          <w:p w14:paraId="257BE81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900</w:t>
            </w:r>
          </w:p>
        </w:tc>
        <w:tc>
          <w:tcPr>
            <w:tcW w:w="739" w:type="dxa"/>
            <w:tcBorders>
              <w:top w:val="nil"/>
              <w:left w:val="nil"/>
              <w:bottom w:val="single" w:sz="4" w:space="0" w:color="auto"/>
              <w:right w:val="single" w:sz="4" w:space="0" w:color="auto"/>
            </w:tcBorders>
            <w:shd w:val="clear" w:color="auto" w:fill="auto"/>
            <w:noWrap/>
            <w:vAlign w:val="center"/>
            <w:hideMark/>
          </w:tcPr>
          <w:p w14:paraId="1D848611"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35</w:t>
            </w:r>
          </w:p>
        </w:tc>
        <w:tc>
          <w:tcPr>
            <w:tcW w:w="1329" w:type="dxa"/>
            <w:tcBorders>
              <w:top w:val="nil"/>
              <w:left w:val="nil"/>
              <w:bottom w:val="single" w:sz="4" w:space="0" w:color="auto"/>
              <w:right w:val="single" w:sz="4" w:space="0" w:color="auto"/>
            </w:tcBorders>
            <w:shd w:val="clear" w:color="auto" w:fill="auto"/>
            <w:noWrap/>
            <w:vAlign w:val="bottom"/>
            <w:hideMark/>
          </w:tcPr>
          <w:p w14:paraId="0017F26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13700</w:t>
            </w:r>
          </w:p>
        </w:tc>
        <w:tc>
          <w:tcPr>
            <w:tcW w:w="739" w:type="dxa"/>
            <w:tcBorders>
              <w:top w:val="nil"/>
              <w:left w:val="nil"/>
              <w:bottom w:val="single" w:sz="4" w:space="0" w:color="auto"/>
              <w:right w:val="single" w:sz="4" w:space="0" w:color="auto"/>
            </w:tcBorders>
            <w:shd w:val="clear" w:color="auto" w:fill="auto"/>
            <w:noWrap/>
            <w:vAlign w:val="bottom"/>
            <w:hideMark/>
          </w:tcPr>
          <w:p w14:paraId="31BA093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67</w:t>
            </w:r>
          </w:p>
        </w:tc>
        <w:tc>
          <w:tcPr>
            <w:tcW w:w="1329" w:type="dxa"/>
            <w:tcBorders>
              <w:top w:val="nil"/>
              <w:left w:val="nil"/>
              <w:bottom w:val="single" w:sz="4" w:space="0" w:color="auto"/>
              <w:right w:val="single" w:sz="4" w:space="0" w:color="auto"/>
            </w:tcBorders>
            <w:shd w:val="clear" w:color="auto" w:fill="auto"/>
            <w:noWrap/>
            <w:vAlign w:val="bottom"/>
            <w:hideMark/>
          </w:tcPr>
          <w:p w14:paraId="48FF7F1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26500</w:t>
            </w:r>
          </w:p>
        </w:tc>
        <w:tc>
          <w:tcPr>
            <w:tcW w:w="739" w:type="dxa"/>
            <w:tcBorders>
              <w:top w:val="nil"/>
              <w:left w:val="nil"/>
              <w:bottom w:val="single" w:sz="4" w:space="0" w:color="auto"/>
              <w:right w:val="single" w:sz="4" w:space="0" w:color="auto"/>
            </w:tcBorders>
            <w:shd w:val="clear" w:color="auto" w:fill="auto"/>
            <w:noWrap/>
            <w:vAlign w:val="bottom"/>
            <w:hideMark/>
          </w:tcPr>
          <w:p w14:paraId="0CBC224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99</w:t>
            </w:r>
          </w:p>
        </w:tc>
        <w:tc>
          <w:tcPr>
            <w:tcW w:w="1329" w:type="dxa"/>
            <w:tcBorders>
              <w:top w:val="nil"/>
              <w:left w:val="nil"/>
              <w:bottom w:val="single" w:sz="4" w:space="0" w:color="auto"/>
              <w:right w:val="single" w:sz="8" w:space="0" w:color="auto"/>
            </w:tcBorders>
            <w:shd w:val="clear" w:color="auto" w:fill="auto"/>
            <w:noWrap/>
            <w:vAlign w:val="bottom"/>
            <w:hideMark/>
          </w:tcPr>
          <w:p w14:paraId="287BADC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39300</w:t>
            </w:r>
          </w:p>
        </w:tc>
      </w:tr>
      <w:tr w:rsidR="005F57ED" w:rsidRPr="00A946DA" w14:paraId="48CEFF38"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4D603C3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w:t>
            </w:r>
          </w:p>
        </w:tc>
        <w:tc>
          <w:tcPr>
            <w:tcW w:w="1329" w:type="dxa"/>
            <w:tcBorders>
              <w:top w:val="nil"/>
              <w:left w:val="nil"/>
              <w:bottom w:val="single" w:sz="4" w:space="0" w:color="auto"/>
              <w:right w:val="single" w:sz="4" w:space="0" w:color="auto"/>
            </w:tcBorders>
            <w:shd w:val="clear" w:color="auto" w:fill="auto"/>
            <w:noWrap/>
            <w:vAlign w:val="bottom"/>
            <w:hideMark/>
          </w:tcPr>
          <w:p w14:paraId="7FF1E06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1300</w:t>
            </w:r>
          </w:p>
        </w:tc>
        <w:tc>
          <w:tcPr>
            <w:tcW w:w="739" w:type="dxa"/>
            <w:tcBorders>
              <w:top w:val="nil"/>
              <w:left w:val="nil"/>
              <w:bottom w:val="single" w:sz="4" w:space="0" w:color="auto"/>
              <w:right w:val="single" w:sz="4" w:space="0" w:color="auto"/>
            </w:tcBorders>
            <w:shd w:val="clear" w:color="auto" w:fill="auto"/>
            <w:noWrap/>
            <w:vAlign w:val="center"/>
            <w:hideMark/>
          </w:tcPr>
          <w:p w14:paraId="7D3B40AF"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36</w:t>
            </w:r>
          </w:p>
        </w:tc>
        <w:tc>
          <w:tcPr>
            <w:tcW w:w="1329" w:type="dxa"/>
            <w:tcBorders>
              <w:top w:val="nil"/>
              <w:left w:val="nil"/>
              <w:bottom w:val="single" w:sz="4" w:space="0" w:color="auto"/>
              <w:right w:val="single" w:sz="4" w:space="0" w:color="auto"/>
            </w:tcBorders>
            <w:shd w:val="clear" w:color="auto" w:fill="auto"/>
            <w:noWrap/>
            <w:vAlign w:val="bottom"/>
            <w:hideMark/>
          </w:tcPr>
          <w:p w14:paraId="652D754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14100</w:t>
            </w:r>
          </w:p>
        </w:tc>
        <w:tc>
          <w:tcPr>
            <w:tcW w:w="739" w:type="dxa"/>
            <w:tcBorders>
              <w:top w:val="nil"/>
              <w:left w:val="nil"/>
              <w:bottom w:val="single" w:sz="4" w:space="0" w:color="auto"/>
              <w:right w:val="single" w:sz="4" w:space="0" w:color="auto"/>
            </w:tcBorders>
            <w:shd w:val="clear" w:color="auto" w:fill="auto"/>
            <w:noWrap/>
            <w:vAlign w:val="bottom"/>
            <w:hideMark/>
          </w:tcPr>
          <w:p w14:paraId="1BF920C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68</w:t>
            </w:r>
          </w:p>
        </w:tc>
        <w:tc>
          <w:tcPr>
            <w:tcW w:w="1329" w:type="dxa"/>
            <w:tcBorders>
              <w:top w:val="nil"/>
              <w:left w:val="nil"/>
              <w:bottom w:val="single" w:sz="4" w:space="0" w:color="auto"/>
              <w:right w:val="single" w:sz="4" w:space="0" w:color="auto"/>
            </w:tcBorders>
            <w:shd w:val="clear" w:color="auto" w:fill="auto"/>
            <w:noWrap/>
            <w:vAlign w:val="bottom"/>
            <w:hideMark/>
          </w:tcPr>
          <w:p w14:paraId="3F6C238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26900</w:t>
            </w:r>
          </w:p>
        </w:tc>
        <w:tc>
          <w:tcPr>
            <w:tcW w:w="739" w:type="dxa"/>
            <w:tcBorders>
              <w:top w:val="nil"/>
              <w:left w:val="nil"/>
              <w:bottom w:val="single" w:sz="4" w:space="0" w:color="auto"/>
              <w:right w:val="single" w:sz="4" w:space="0" w:color="auto"/>
            </w:tcBorders>
            <w:shd w:val="clear" w:color="auto" w:fill="auto"/>
            <w:noWrap/>
            <w:vAlign w:val="bottom"/>
            <w:hideMark/>
          </w:tcPr>
          <w:p w14:paraId="329CB23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100</w:t>
            </w:r>
          </w:p>
        </w:tc>
        <w:tc>
          <w:tcPr>
            <w:tcW w:w="1329" w:type="dxa"/>
            <w:tcBorders>
              <w:top w:val="nil"/>
              <w:left w:val="nil"/>
              <w:bottom w:val="single" w:sz="4" w:space="0" w:color="auto"/>
              <w:right w:val="single" w:sz="8" w:space="0" w:color="auto"/>
            </w:tcBorders>
            <w:shd w:val="clear" w:color="auto" w:fill="auto"/>
            <w:noWrap/>
            <w:vAlign w:val="bottom"/>
            <w:hideMark/>
          </w:tcPr>
          <w:p w14:paraId="406DA13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39700</w:t>
            </w:r>
          </w:p>
        </w:tc>
      </w:tr>
      <w:tr w:rsidR="005F57ED" w:rsidRPr="00A946DA" w14:paraId="15B2C522"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4821D651"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w:t>
            </w:r>
          </w:p>
        </w:tc>
        <w:tc>
          <w:tcPr>
            <w:tcW w:w="1329" w:type="dxa"/>
            <w:tcBorders>
              <w:top w:val="nil"/>
              <w:left w:val="nil"/>
              <w:bottom w:val="single" w:sz="4" w:space="0" w:color="auto"/>
              <w:right w:val="single" w:sz="4" w:space="0" w:color="auto"/>
            </w:tcBorders>
            <w:shd w:val="clear" w:color="auto" w:fill="auto"/>
            <w:noWrap/>
            <w:vAlign w:val="bottom"/>
            <w:hideMark/>
          </w:tcPr>
          <w:p w14:paraId="5527CC7F"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1700</w:t>
            </w:r>
          </w:p>
        </w:tc>
        <w:tc>
          <w:tcPr>
            <w:tcW w:w="739" w:type="dxa"/>
            <w:tcBorders>
              <w:top w:val="nil"/>
              <w:left w:val="nil"/>
              <w:bottom w:val="single" w:sz="4" w:space="0" w:color="auto"/>
              <w:right w:val="single" w:sz="4" w:space="0" w:color="auto"/>
            </w:tcBorders>
            <w:shd w:val="clear" w:color="auto" w:fill="auto"/>
            <w:noWrap/>
            <w:vAlign w:val="center"/>
            <w:hideMark/>
          </w:tcPr>
          <w:p w14:paraId="72DD13A1"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37</w:t>
            </w:r>
          </w:p>
        </w:tc>
        <w:tc>
          <w:tcPr>
            <w:tcW w:w="1329" w:type="dxa"/>
            <w:tcBorders>
              <w:top w:val="nil"/>
              <w:left w:val="nil"/>
              <w:bottom w:val="single" w:sz="4" w:space="0" w:color="auto"/>
              <w:right w:val="single" w:sz="4" w:space="0" w:color="auto"/>
            </w:tcBorders>
            <w:shd w:val="clear" w:color="auto" w:fill="auto"/>
            <w:noWrap/>
            <w:vAlign w:val="bottom"/>
            <w:hideMark/>
          </w:tcPr>
          <w:p w14:paraId="2646EC1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14500</w:t>
            </w:r>
          </w:p>
        </w:tc>
        <w:tc>
          <w:tcPr>
            <w:tcW w:w="739" w:type="dxa"/>
            <w:tcBorders>
              <w:top w:val="nil"/>
              <w:left w:val="nil"/>
              <w:bottom w:val="single" w:sz="4" w:space="0" w:color="auto"/>
              <w:right w:val="single" w:sz="4" w:space="0" w:color="auto"/>
            </w:tcBorders>
            <w:shd w:val="clear" w:color="auto" w:fill="auto"/>
            <w:noWrap/>
            <w:vAlign w:val="bottom"/>
            <w:hideMark/>
          </w:tcPr>
          <w:p w14:paraId="09DD12A5"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69</w:t>
            </w:r>
          </w:p>
        </w:tc>
        <w:tc>
          <w:tcPr>
            <w:tcW w:w="1329" w:type="dxa"/>
            <w:tcBorders>
              <w:top w:val="nil"/>
              <w:left w:val="nil"/>
              <w:bottom w:val="single" w:sz="4" w:space="0" w:color="auto"/>
              <w:right w:val="single" w:sz="4" w:space="0" w:color="auto"/>
            </w:tcBorders>
            <w:shd w:val="clear" w:color="auto" w:fill="auto"/>
            <w:noWrap/>
            <w:vAlign w:val="bottom"/>
            <w:hideMark/>
          </w:tcPr>
          <w:p w14:paraId="0120EBF5"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27300</w:t>
            </w:r>
          </w:p>
        </w:tc>
        <w:tc>
          <w:tcPr>
            <w:tcW w:w="739" w:type="dxa"/>
            <w:tcBorders>
              <w:top w:val="nil"/>
              <w:left w:val="nil"/>
              <w:bottom w:val="single" w:sz="4" w:space="0" w:color="auto"/>
              <w:right w:val="single" w:sz="4" w:space="0" w:color="auto"/>
            </w:tcBorders>
            <w:shd w:val="clear" w:color="auto" w:fill="auto"/>
            <w:noWrap/>
            <w:vAlign w:val="bottom"/>
            <w:hideMark/>
          </w:tcPr>
          <w:p w14:paraId="6708C954"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101</w:t>
            </w:r>
          </w:p>
        </w:tc>
        <w:tc>
          <w:tcPr>
            <w:tcW w:w="1329" w:type="dxa"/>
            <w:tcBorders>
              <w:top w:val="nil"/>
              <w:left w:val="nil"/>
              <w:bottom w:val="single" w:sz="4" w:space="0" w:color="auto"/>
              <w:right w:val="single" w:sz="8" w:space="0" w:color="auto"/>
            </w:tcBorders>
            <w:shd w:val="clear" w:color="auto" w:fill="auto"/>
            <w:noWrap/>
            <w:vAlign w:val="bottom"/>
            <w:hideMark/>
          </w:tcPr>
          <w:p w14:paraId="5720859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40100</w:t>
            </w:r>
          </w:p>
        </w:tc>
      </w:tr>
      <w:tr w:rsidR="005F57ED" w:rsidRPr="00A946DA" w14:paraId="4C47552D"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06416ED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w:t>
            </w:r>
          </w:p>
        </w:tc>
        <w:tc>
          <w:tcPr>
            <w:tcW w:w="1329" w:type="dxa"/>
            <w:tcBorders>
              <w:top w:val="nil"/>
              <w:left w:val="nil"/>
              <w:bottom w:val="single" w:sz="4" w:space="0" w:color="auto"/>
              <w:right w:val="single" w:sz="4" w:space="0" w:color="auto"/>
            </w:tcBorders>
            <w:shd w:val="clear" w:color="auto" w:fill="auto"/>
            <w:noWrap/>
            <w:vAlign w:val="bottom"/>
            <w:hideMark/>
          </w:tcPr>
          <w:p w14:paraId="1744E3A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2100</w:t>
            </w:r>
          </w:p>
        </w:tc>
        <w:tc>
          <w:tcPr>
            <w:tcW w:w="739" w:type="dxa"/>
            <w:tcBorders>
              <w:top w:val="nil"/>
              <w:left w:val="nil"/>
              <w:bottom w:val="single" w:sz="4" w:space="0" w:color="auto"/>
              <w:right w:val="single" w:sz="4" w:space="0" w:color="auto"/>
            </w:tcBorders>
            <w:shd w:val="clear" w:color="auto" w:fill="auto"/>
            <w:noWrap/>
            <w:vAlign w:val="center"/>
            <w:hideMark/>
          </w:tcPr>
          <w:p w14:paraId="48DE391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38</w:t>
            </w:r>
          </w:p>
        </w:tc>
        <w:tc>
          <w:tcPr>
            <w:tcW w:w="1329" w:type="dxa"/>
            <w:tcBorders>
              <w:top w:val="nil"/>
              <w:left w:val="nil"/>
              <w:bottom w:val="single" w:sz="4" w:space="0" w:color="auto"/>
              <w:right w:val="single" w:sz="4" w:space="0" w:color="auto"/>
            </w:tcBorders>
            <w:shd w:val="clear" w:color="auto" w:fill="auto"/>
            <w:noWrap/>
            <w:vAlign w:val="bottom"/>
            <w:hideMark/>
          </w:tcPr>
          <w:p w14:paraId="1040DC6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14900</w:t>
            </w:r>
          </w:p>
        </w:tc>
        <w:tc>
          <w:tcPr>
            <w:tcW w:w="739" w:type="dxa"/>
            <w:tcBorders>
              <w:top w:val="nil"/>
              <w:left w:val="nil"/>
              <w:bottom w:val="single" w:sz="4" w:space="0" w:color="auto"/>
              <w:right w:val="single" w:sz="4" w:space="0" w:color="auto"/>
            </w:tcBorders>
            <w:shd w:val="clear" w:color="auto" w:fill="auto"/>
            <w:noWrap/>
            <w:vAlign w:val="bottom"/>
            <w:hideMark/>
          </w:tcPr>
          <w:p w14:paraId="23544C5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70</w:t>
            </w:r>
          </w:p>
        </w:tc>
        <w:tc>
          <w:tcPr>
            <w:tcW w:w="1329" w:type="dxa"/>
            <w:tcBorders>
              <w:top w:val="nil"/>
              <w:left w:val="nil"/>
              <w:bottom w:val="single" w:sz="4" w:space="0" w:color="auto"/>
              <w:right w:val="single" w:sz="4" w:space="0" w:color="auto"/>
            </w:tcBorders>
            <w:shd w:val="clear" w:color="auto" w:fill="auto"/>
            <w:noWrap/>
            <w:vAlign w:val="bottom"/>
            <w:hideMark/>
          </w:tcPr>
          <w:p w14:paraId="74014ED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27700</w:t>
            </w:r>
          </w:p>
        </w:tc>
        <w:tc>
          <w:tcPr>
            <w:tcW w:w="739" w:type="dxa"/>
            <w:tcBorders>
              <w:top w:val="nil"/>
              <w:left w:val="nil"/>
              <w:bottom w:val="single" w:sz="4" w:space="0" w:color="auto"/>
              <w:right w:val="single" w:sz="4" w:space="0" w:color="auto"/>
            </w:tcBorders>
            <w:shd w:val="clear" w:color="auto" w:fill="auto"/>
            <w:noWrap/>
            <w:vAlign w:val="bottom"/>
            <w:hideMark/>
          </w:tcPr>
          <w:p w14:paraId="71397E04"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102</w:t>
            </w:r>
          </w:p>
        </w:tc>
        <w:tc>
          <w:tcPr>
            <w:tcW w:w="1329" w:type="dxa"/>
            <w:tcBorders>
              <w:top w:val="nil"/>
              <w:left w:val="nil"/>
              <w:bottom w:val="single" w:sz="4" w:space="0" w:color="auto"/>
              <w:right w:val="single" w:sz="8" w:space="0" w:color="auto"/>
            </w:tcBorders>
            <w:shd w:val="clear" w:color="auto" w:fill="auto"/>
            <w:vAlign w:val="center"/>
            <w:hideMark/>
          </w:tcPr>
          <w:p w14:paraId="45A4546B"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0360A44D"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679B840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w:t>
            </w:r>
          </w:p>
        </w:tc>
        <w:tc>
          <w:tcPr>
            <w:tcW w:w="1329" w:type="dxa"/>
            <w:tcBorders>
              <w:top w:val="nil"/>
              <w:left w:val="nil"/>
              <w:bottom w:val="single" w:sz="4" w:space="0" w:color="auto"/>
              <w:right w:val="single" w:sz="4" w:space="0" w:color="auto"/>
            </w:tcBorders>
            <w:shd w:val="clear" w:color="auto" w:fill="auto"/>
            <w:noWrap/>
            <w:vAlign w:val="bottom"/>
            <w:hideMark/>
          </w:tcPr>
          <w:p w14:paraId="5425C55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2500</w:t>
            </w:r>
          </w:p>
        </w:tc>
        <w:tc>
          <w:tcPr>
            <w:tcW w:w="739" w:type="dxa"/>
            <w:tcBorders>
              <w:top w:val="nil"/>
              <w:left w:val="nil"/>
              <w:bottom w:val="single" w:sz="4" w:space="0" w:color="auto"/>
              <w:right w:val="single" w:sz="4" w:space="0" w:color="auto"/>
            </w:tcBorders>
            <w:shd w:val="clear" w:color="auto" w:fill="auto"/>
            <w:noWrap/>
            <w:vAlign w:val="center"/>
            <w:hideMark/>
          </w:tcPr>
          <w:p w14:paraId="48111DB5"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39</w:t>
            </w:r>
          </w:p>
        </w:tc>
        <w:tc>
          <w:tcPr>
            <w:tcW w:w="1329" w:type="dxa"/>
            <w:tcBorders>
              <w:top w:val="nil"/>
              <w:left w:val="nil"/>
              <w:bottom w:val="single" w:sz="4" w:space="0" w:color="auto"/>
              <w:right w:val="single" w:sz="4" w:space="0" w:color="auto"/>
            </w:tcBorders>
            <w:shd w:val="clear" w:color="auto" w:fill="auto"/>
            <w:noWrap/>
            <w:vAlign w:val="bottom"/>
            <w:hideMark/>
          </w:tcPr>
          <w:p w14:paraId="53AD86F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15300</w:t>
            </w:r>
          </w:p>
        </w:tc>
        <w:tc>
          <w:tcPr>
            <w:tcW w:w="739" w:type="dxa"/>
            <w:tcBorders>
              <w:top w:val="nil"/>
              <w:left w:val="nil"/>
              <w:bottom w:val="single" w:sz="4" w:space="0" w:color="auto"/>
              <w:right w:val="single" w:sz="4" w:space="0" w:color="auto"/>
            </w:tcBorders>
            <w:shd w:val="clear" w:color="auto" w:fill="auto"/>
            <w:noWrap/>
            <w:vAlign w:val="bottom"/>
            <w:hideMark/>
          </w:tcPr>
          <w:p w14:paraId="431E8B64"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71</w:t>
            </w:r>
          </w:p>
        </w:tc>
        <w:tc>
          <w:tcPr>
            <w:tcW w:w="1329" w:type="dxa"/>
            <w:tcBorders>
              <w:top w:val="nil"/>
              <w:left w:val="nil"/>
              <w:bottom w:val="single" w:sz="4" w:space="0" w:color="auto"/>
              <w:right w:val="single" w:sz="4" w:space="0" w:color="auto"/>
            </w:tcBorders>
            <w:shd w:val="clear" w:color="auto" w:fill="auto"/>
            <w:noWrap/>
            <w:vAlign w:val="bottom"/>
            <w:hideMark/>
          </w:tcPr>
          <w:p w14:paraId="05D64BE1"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28100</w:t>
            </w:r>
          </w:p>
        </w:tc>
        <w:tc>
          <w:tcPr>
            <w:tcW w:w="739" w:type="dxa"/>
            <w:tcBorders>
              <w:top w:val="nil"/>
              <w:left w:val="nil"/>
              <w:bottom w:val="single" w:sz="4" w:space="0" w:color="auto"/>
              <w:right w:val="single" w:sz="4" w:space="0" w:color="auto"/>
            </w:tcBorders>
            <w:shd w:val="clear" w:color="auto" w:fill="auto"/>
            <w:noWrap/>
            <w:vAlign w:val="bottom"/>
            <w:hideMark/>
          </w:tcPr>
          <w:p w14:paraId="0929B455"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103</w:t>
            </w:r>
          </w:p>
        </w:tc>
        <w:tc>
          <w:tcPr>
            <w:tcW w:w="1329" w:type="dxa"/>
            <w:tcBorders>
              <w:top w:val="nil"/>
              <w:left w:val="nil"/>
              <w:bottom w:val="single" w:sz="4" w:space="0" w:color="auto"/>
              <w:right w:val="single" w:sz="8" w:space="0" w:color="auto"/>
            </w:tcBorders>
            <w:shd w:val="clear" w:color="auto" w:fill="auto"/>
            <w:vAlign w:val="center"/>
            <w:hideMark/>
          </w:tcPr>
          <w:p w14:paraId="1FF7E032"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692187E9"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2D8BD20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w:t>
            </w:r>
          </w:p>
        </w:tc>
        <w:tc>
          <w:tcPr>
            <w:tcW w:w="1329" w:type="dxa"/>
            <w:tcBorders>
              <w:top w:val="nil"/>
              <w:left w:val="nil"/>
              <w:bottom w:val="single" w:sz="4" w:space="0" w:color="auto"/>
              <w:right w:val="single" w:sz="4" w:space="0" w:color="auto"/>
            </w:tcBorders>
            <w:shd w:val="clear" w:color="auto" w:fill="auto"/>
            <w:noWrap/>
            <w:vAlign w:val="bottom"/>
            <w:hideMark/>
          </w:tcPr>
          <w:p w14:paraId="6805F96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2900</w:t>
            </w:r>
          </w:p>
        </w:tc>
        <w:tc>
          <w:tcPr>
            <w:tcW w:w="739" w:type="dxa"/>
            <w:tcBorders>
              <w:top w:val="nil"/>
              <w:left w:val="nil"/>
              <w:bottom w:val="single" w:sz="4" w:space="0" w:color="auto"/>
              <w:right w:val="single" w:sz="4" w:space="0" w:color="auto"/>
            </w:tcBorders>
            <w:shd w:val="clear" w:color="auto" w:fill="auto"/>
            <w:noWrap/>
            <w:vAlign w:val="center"/>
            <w:hideMark/>
          </w:tcPr>
          <w:p w14:paraId="483E364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40</w:t>
            </w:r>
          </w:p>
        </w:tc>
        <w:tc>
          <w:tcPr>
            <w:tcW w:w="1329" w:type="dxa"/>
            <w:tcBorders>
              <w:top w:val="nil"/>
              <w:left w:val="nil"/>
              <w:bottom w:val="single" w:sz="4" w:space="0" w:color="auto"/>
              <w:right w:val="single" w:sz="4" w:space="0" w:color="auto"/>
            </w:tcBorders>
            <w:shd w:val="clear" w:color="auto" w:fill="auto"/>
            <w:noWrap/>
            <w:vAlign w:val="bottom"/>
            <w:hideMark/>
          </w:tcPr>
          <w:p w14:paraId="15B5AC7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15700</w:t>
            </w:r>
          </w:p>
        </w:tc>
        <w:tc>
          <w:tcPr>
            <w:tcW w:w="739" w:type="dxa"/>
            <w:tcBorders>
              <w:top w:val="nil"/>
              <w:left w:val="nil"/>
              <w:bottom w:val="single" w:sz="4" w:space="0" w:color="auto"/>
              <w:right w:val="single" w:sz="4" w:space="0" w:color="auto"/>
            </w:tcBorders>
            <w:shd w:val="clear" w:color="auto" w:fill="auto"/>
            <w:noWrap/>
            <w:vAlign w:val="bottom"/>
            <w:hideMark/>
          </w:tcPr>
          <w:p w14:paraId="75A64D8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72</w:t>
            </w:r>
          </w:p>
        </w:tc>
        <w:tc>
          <w:tcPr>
            <w:tcW w:w="1329" w:type="dxa"/>
            <w:tcBorders>
              <w:top w:val="nil"/>
              <w:left w:val="nil"/>
              <w:bottom w:val="single" w:sz="4" w:space="0" w:color="auto"/>
              <w:right w:val="single" w:sz="4" w:space="0" w:color="auto"/>
            </w:tcBorders>
            <w:shd w:val="clear" w:color="auto" w:fill="auto"/>
            <w:noWrap/>
            <w:vAlign w:val="bottom"/>
            <w:hideMark/>
          </w:tcPr>
          <w:p w14:paraId="07F967B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28500</w:t>
            </w:r>
          </w:p>
        </w:tc>
        <w:tc>
          <w:tcPr>
            <w:tcW w:w="739" w:type="dxa"/>
            <w:tcBorders>
              <w:top w:val="nil"/>
              <w:left w:val="nil"/>
              <w:bottom w:val="single" w:sz="4" w:space="0" w:color="auto"/>
              <w:right w:val="single" w:sz="4" w:space="0" w:color="auto"/>
            </w:tcBorders>
            <w:shd w:val="clear" w:color="auto" w:fill="auto"/>
            <w:noWrap/>
            <w:vAlign w:val="bottom"/>
            <w:hideMark/>
          </w:tcPr>
          <w:p w14:paraId="060CEDD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104</w:t>
            </w:r>
          </w:p>
        </w:tc>
        <w:tc>
          <w:tcPr>
            <w:tcW w:w="1329" w:type="dxa"/>
            <w:tcBorders>
              <w:top w:val="nil"/>
              <w:left w:val="nil"/>
              <w:bottom w:val="single" w:sz="4" w:space="0" w:color="auto"/>
              <w:right w:val="single" w:sz="8" w:space="0" w:color="auto"/>
            </w:tcBorders>
            <w:shd w:val="clear" w:color="auto" w:fill="auto"/>
            <w:vAlign w:val="center"/>
            <w:hideMark/>
          </w:tcPr>
          <w:p w14:paraId="390DFFF7"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06017C73"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4667E60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w:t>
            </w:r>
          </w:p>
        </w:tc>
        <w:tc>
          <w:tcPr>
            <w:tcW w:w="1329" w:type="dxa"/>
            <w:tcBorders>
              <w:top w:val="nil"/>
              <w:left w:val="nil"/>
              <w:bottom w:val="single" w:sz="4" w:space="0" w:color="auto"/>
              <w:right w:val="single" w:sz="4" w:space="0" w:color="auto"/>
            </w:tcBorders>
            <w:shd w:val="clear" w:color="auto" w:fill="auto"/>
            <w:noWrap/>
            <w:vAlign w:val="bottom"/>
            <w:hideMark/>
          </w:tcPr>
          <w:p w14:paraId="1AF0D2C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3300</w:t>
            </w:r>
          </w:p>
        </w:tc>
        <w:tc>
          <w:tcPr>
            <w:tcW w:w="739" w:type="dxa"/>
            <w:tcBorders>
              <w:top w:val="nil"/>
              <w:left w:val="nil"/>
              <w:bottom w:val="single" w:sz="4" w:space="0" w:color="auto"/>
              <w:right w:val="single" w:sz="4" w:space="0" w:color="auto"/>
            </w:tcBorders>
            <w:shd w:val="clear" w:color="auto" w:fill="auto"/>
            <w:noWrap/>
            <w:vAlign w:val="center"/>
            <w:hideMark/>
          </w:tcPr>
          <w:p w14:paraId="23D3825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41</w:t>
            </w:r>
          </w:p>
        </w:tc>
        <w:tc>
          <w:tcPr>
            <w:tcW w:w="1329" w:type="dxa"/>
            <w:tcBorders>
              <w:top w:val="nil"/>
              <w:left w:val="nil"/>
              <w:bottom w:val="single" w:sz="4" w:space="0" w:color="auto"/>
              <w:right w:val="single" w:sz="4" w:space="0" w:color="auto"/>
            </w:tcBorders>
            <w:shd w:val="clear" w:color="auto" w:fill="auto"/>
            <w:noWrap/>
            <w:vAlign w:val="bottom"/>
            <w:hideMark/>
          </w:tcPr>
          <w:p w14:paraId="043B760F"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16100</w:t>
            </w:r>
          </w:p>
        </w:tc>
        <w:tc>
          <w:tcPr>
            <w:tcW w:w="739" w:type="dxa"/>
            <w:tcBorders>
              <w:top w:val="nil"/>
              <w:left w:val="nil"/>
              <w:bottom w:val="single" w:sz="4" w:space="0" w:color="auto"/>
              <w:right w:val="single" w:sz="4" w:space="0" w:color="auto"/>
            </w:tcBorders>
            <w:shd w:val="clear" w:color="auto" w:fill="auto"/>
            <w:noWrap/>
            <w:vAlign w:val="bottom"/>
            <w:hideMark/>
          </w:tcPr>
          <w:p w14:paraId="782CD0FF"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73</w:t>
            </w:r>
          </w:p>
        </w:tc>
        <w:tc>
          <w:tcPr>
            <w:tcW w:w="1329" w:type="dxa"/>
            <w:tcBorders>
              <w:top w:val="nil"/>
              <w:left w:val="nil"/>
              <w:bottom w:val="single" w:sz="4" w:space="0" w:color="auto"/>
              <w:right w:val="single" w:sz="4" w:space="0" w:color="auto"/>
            </w:tcBorders>
            <w:shd w:val="clear" w:color="auto" w:fill="auto"/>
            <w:noWrap/>
            <w:vAlign w:val="bottom"/>
            <w:hideMark/>
          </w:tcPr>
          <w:p w14:paraId="6A5AC5A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28900</w:t>
            </w:r>
          </w:p>
        </w:tc>
        <w:tc>
          <w:tcPr>
            <w:tcW w:w="739" w:type="dxa"/>
            <w:tcBorders>
              <w:top w:val="nil"/>
              <w:left w:val="nil"/>
              <w:bottom w:val="single" w:sz="4" w:space="0" w:color="auto"/>
              <w:right w:val="single" w:sz="4" w:space="0" w:color="auto"/>
            </w:tcBorders>
            <w:shd w:val="clear" w:color="auto" w:fill="auto"/>
            <w:noWrap/>
            <w:vAlign w:val="bottom"/>
            <w:hideMark/>
          </w:tcPr>
          <w:p w14:paraId="375CF9E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105</w:t>
            </w:r>
          </w:p>
        </w:tc>
        <w:tc>
          <w:tcPr>
            <w:tcW w:w="1329" w:type="dxa"/>
            <w:tcBorders>
              <w:top w:val="nil"/>
              <w:left w:val="nil"/>
              <w:bottom w:val="single" w:sz="4" w:space="0" w:color="auto"/>
              <w:right w:val="single" w:sz="8" w:space="0" w:color="auto"/>
            </w:tcBorders>
            <w:shd w:val="clear" w:color="auto" w:fill="auto"/>
            <w:vAlign w:val="center"/>
            <w:hideMark/>
          </w:tcPr>
          <w:p w14:paraId="04ECA84E"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2E01070F"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020FFF8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w:t>
            </w:r>
          </w:p>
        </w:tc>
        <w:tc>
          <w:tcPr>
            <w:tcW w:w="1329" w:type="dxa"/>
            <w:tcBorders>
              <w:top w:val="nil"/>
              <w:left w:val="nil"/>
              <w:bottom w:val="single" w:sz="4" w:space="0" w:color="auto"/>
              <w:right w:val="single" w:sz="4" w:space="0" w:color="auto"/>
            </w:tcBorders>
            <w:shd w:val="clear" w:color="auto" w:fill="auto"/>
            <w:noWrap/>
            <w:vAlign w:val="bottom"/>
            <w:hideMark/>
          </w:tcPr>
          <w:p w14:paraId="3ACA96E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3700</w:t>
            </w:r>
          </w:p>
        </w:tc>
        <w:tc>
          <w:tcPr>
            <w:tcW w:w="739" w:type="dxa"/>
            <w:tcBorders>
              <w:top w:val="nil"/>
              <w:left w:val="nil"/>
              <w:bottom w:val="single" w:sz="4" w:space="0" w:color="auto"/>
              <w:right w:val="single" w:sz="4" w:space="0" w:color="auto"/>
            </w:tcBorders>
            <w:shd w:val="clear" w:color="auto" w:fill="auto"/>
            <w:noWrap/>
            <w:vAlign w:val="center"/>
            <w:hideMark/>
          </w:tcPr>
          <w:p w14:paraId="090C63AF"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42</w:t>
            </w:r>
          </w:p>
        </w:tc>
        <w:tc>
          <w:tcPr>
            <w:tcW w:w="1329" w:type="dxa"/>
            <w:tcBorders>
              <w:top w:val="nil"/>
              <w:left w:val="nil"/>
              <w:bottom w:val="single" w:sz="4" w:space="0" w:color="auto"/>
              <w:right w:val="single" w:sz="4" w:space="0" w:color="auto"/>
            </w:tcBorders>
            <w:shd w:val="clear" w:color="auto" w:fill="auto"/>
            <w:noWrap/>
            <w:vAlign w:val="bottom"/>
            <w:hideMark/>
          </w:tcPr>
          <w:p w14:paraId="3B58DE6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16500</w:t>
            </w:r>
          </w:p>
        </w:tc>
        <w:tc>
          <w:tcPr>
            <w:tcW w:w="739" w:type="dxa"/>
            <w:tcBorders>
              <w:top w:val="nil"/>
              <w:left w:val="nil"/>
              <w:bottom w:val="single" w:sz="4" w:space="0" w:color="auto"/>
              <w:right w:val="single" w:sz="4" w:space="0" w:color="auto"/>
            </w:tcBorders>
            <w:shd w:val="clear" w:color="auto" w:fill="auto"/>
            <w:noWrap/>
            <w:vAlign w:val="bottom"/>
            <w:hideMark/>
          </w:tcPr>
          <w:p w14:paraId="5B5A021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74</w:t>
            </w:r>
          </w:p>
        </w:tc>
        <w:tc>
          <w:tcPr>
            <w:tcW w:w="1329" w:type="dxa"/>
            <w:tcBorders>
              <w:top w:val="nil"/>
              <w:left w:val="nil"/>
              <w:bottom w:val="single" w:sz="4" w:space="0" w:color="auto"/>
              <w:right w:val="single" w:sz="4" w:space="0" w:color="auto"/>
            </w:tcBorders>
            <w:shd w:val="clear" w:color="auto" w:fill="auto"/>
            <w:noWrap/>
            <w:vAlign w:val="bottom"/>
            <w:hideMark/>
          </w:tcPr>
          <w:p w14:paraId="270F2E4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29300</w:t>
            </w:r>
          </w:p>
        </w:tc>
        <w:tc>
          <w:tcPr>
            <w:tcW w:w="739" w:type="dxa"/>
            <w:tcBorders>
              <w:top w:val="nil"/>
              <w:left w:val="nil"/>
              <w:bottom w:val="single" w:sz="4" w:space="0" w:color="auto"/>
              <w:right w:val="single" w:sz="4" w:space="0" w:color="auto"/>
            </w:tcBorders>
            <w:shd w:val="clear" w:color="auto" w:fill="auto"/>
            <w:noWrap/>
            <w:vAlign w:val="bottom"/>
            <w:hideMark/>
          </w:tcPr>
          <w:p w14:paraId="0C6F58A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106</w:t>
            </w:r>
          </w:p>
        </w:tc>
        <w:tc>
          <w:tcPr>
            <w:tcW w:w="1329" w:type="dxa"/>
            <w:tcBorders>
              <w:top w:val="nil"/>
              <w:left w:val="nil"/>
              <w:bottom w:val="single" w:sz="4" w:space="0" w:color="auto"/>
              <w:right w:val="single" w:sz="8" w:space="0" w:color="auto"/>
            </w:tcBorders>
            <w:shd w:val="clear" w:color="auto" w:fill="auto"/>
            <w:vAlign w:val="center"/>
            <w:hideMark/>
          </w:tcPr>
          <w:p w14:paraId="26A89FA3"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3A6F5AA7"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787891E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w:t>
            </w:r>
          </w:p>
        </w:tc>
        <w:tc>
          <w:tcPr>
            <w:tcW w:w="1329" w:type="dxa"/>
            <w:tcBorders>
              <w:top w:val="nil"/>
              <w:left w:val="nil"/>
              <w:bottom w:val="single" w:sz="4" w:space="0" w:color="auto"/>
              <w:right w:val="single" w:sz="4" w:space="0" w:color="auto"/>
            </w:tcBorders>
            <w:shd w:val="clear" w:color="auto" w:fill="auto"/>
            <w:noWrap/>
            <w:vAlign w:val="bottom"/>
            <w:hideMark/>
          </w:tcPr>
          <w:p w14:paraId="44833C3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4100</w:t>
            </w:r>
          </w:p>
        </w:tc>
        <w:tc>
          <w:tcPr>
            <w:tcW w:w="739" w:type="dxa"/>
            <w:tcBorders>
              <w:top w:val="nil"/>
              <w:left w:val="nil"/>
              <w:bottom w:val="single" w:sz="4" w:space="0" w:color="auto"/>
              <w:right w:val="single" w:sz="4" w:space="0" w:color="auto"/>
            </w:tcBorders>
            <w:shd w:val="clear" w:color="auto" w:fill="auto"/>
            <w:noWrap/>
            <w:vAlign w:val="center"/>
            <w:hideMark/>
          </w:tcPr>
          <w:p w14:paraId="79AAD5D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43</w:t>
            </w:r>
          </w:p>
        </w:tc>
        <w:tc>
          <w:tcPr>
            <w:tcW w:w="1329" w:type="dxa"/>
            <w:tcBorders>
              <w:top w:val="nil"/>
              <w:left w:val="nil"/>
              <w:bottom w:val="single" w:sz="4" w:space="0" w:color="auto"/>
              <w:right w:val="single" w:sz="4" w:space="0" w:color="auto"/>
            </w:tcBorders>
            <w:shd w:val="clear" w:color="auto" w:fill="auto"/>
            <w:noWrap/>
            <w:vAlign w:val="bottom"/>
            <w:hideMark/>
          </w:tcPr>
          <w:p w14:paraId="29DA5F3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16900</w:t>
            </w:r>
          </w:p>
        </w:tc>
        <w:tc>
          <w:tcPr>
            <w:tcW w:w="739" w:type="dxa"/>
            <w:tcBorders>
              <w:top w:val="nil"/>
              <w:left w:val="nil"/>
              <w:bottom w:val="single" w:sz="4" w:space="0" w:color="auto"/>
              <w:right w:val="single" w:sz="4" w:space="0" w:color="auto"/>
            </w:tcBorders>
            <w:shd w:val="clear" w:color="auto" w:fill="auto"/>
            <w:noWrap/>
            <w:vAlign w:val="bottom"/>
            <w:hideMark/>
          </w:tcPr>
          <w:p w14:paraId="3984819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75</w:t>
            </w:r>
          </w:p>
        </w:tc>
        <w:tc>
          <w:tcPr>
            <w:tcW w:w="1329" w:type="dxa"/>
            <w:tcBorders>
              <w:top w:val="nil"/>
              <w:left w:val="nil"/>
              <w:bottom w:val="single" w:sz="4" w:space="0" w:color="auto"/>
              <w:right w:val="single" w:sz="4" w:space="0" w:color="auto"/>
            </w:tcBorders>
            <w:shd w:val="clear" w:color="auto" w:fill="auto"/>
            <w:noWrap/>
            <w:vAlign w:val="bottom"/>
            <w:hideMark/>
          </w:tcPr>
          <w:p w14:paraId="2B6CADA4"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29700</w:t>
            </w:r>
          </w:p>
        </w:tc>
        <w:tc>
          <w:tcPr>
            <w:tcW w:w="739" w:type="dxa"/>
            <w:tcBorders>
              <w:top w:val="nil"/>
              <w:left w:val="nil"/>
              <w:bottom w:val="single" w:sz="4" w:space="0" w:color="auto"/>
              <w:right w:val="single" w:sz="4" w:space="0" w:color="auto"/>
            </w:tcBorders>
            <w:shd w:val="clear" w:color="auto" w:fill="auto"/>
            <w:noWrap/>
            <w:vAlign w:val="bottom"/>
            <w:hideMark/>
          </w:tcPr>
          <w:p w14:paraId="034E2501"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107</w:t>
            </w:r>
          </w:p>
        </w:tc>
        <w:tc>
          <w:tcPr>
            <w:tcW w:w="1329" w:type="dxa"/>
            <w:tcBorders>
              <w:top w:val="nil"/>
              <w:left w:val="nil"/>
              <w:bottom w:val="single" w:sz="4" w:space="0" w:color="auto"/>
              <w:right w:val="single" w:sz="8" w:space="0" w:color="auto"/>
            </w:tcBorders>
            <w:shd w:val="clear" w:color="auto" w:fill="auto"/>
            <w:vAlign w:val="center"/>
            <w:hideMark/>
          </w:tcPr>
          <w:p w14:paraId="67EE4238"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6DB4FA73"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5CF5904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w:t>
            </w:r>
          </w:p>
        </w:tc>
        <w:tc>
          <w:tcPr>
            <w:tcW w:w="1329" w:type="dxa"/>
            <w:tcBorders>
              <w:top w:val="nil"/>
              <w:left w:val="nil"/>
              <w:bottom w:val="single" w:sz="4" w:space="0" w:color="auto"/>
              <w:right w:val="single" w:sz="4" w:space="0" w:color="auto"/>
            </w:tcBorders>
            <w:shd w:val="clear" w:color="auto" w:fill="auto"/>
            <w:noWrap/>
            <w:vAlign w:val="bottom"/>
            <w:hideMark/>
          </w:tcPr>
          <w:p w14:paraId="53AC1AC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4500</w:t>
            </w:r>
          </w:p>
        </w:tc>
        <w:tc>
          <w:tcPr>
            <w:tcW w:w="739" w:type="dxa"/>
            <w:tcBorders>
              <w:top w:val="nil"/>
              <w:left w:val="nil"/>
              <w:bottom w:val="single" w:sz="4" w:space="0" w:color="auto"/>
              <w:right w:val="single" w:sz="4" w:space="0" w:color="auto"/>
            </w:tcBorders>
            <w:shd w:val="clear" w:color="auto" w:fill="auto"/>
            <w:noWrap/>
            <w:vAlign w:val="center"/>
            <w:hideMark/>
          </w:tcPr>
          <w:p w14:paraId="0C8C263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44</w:t>
            </w:r>
          </w:p>
        </w:tc>
        <w:tc>
          <w:tcPr>
            <w:tcW w:w="1329" w:type="dxa"/>
            <w:tcBorders>
              <w:top w:val="nil"/>
              <w:left w:val="nil"/>
              <w:bottom w:val="single" w:sz="4" w:space="0" w:color="auto"/>
              <w:right w:val="single" w:sz="4" w:space="0" w:color="auto"/>
            </w:tcBorders>
            <w:shd w:val="clear" w:color="auto" w:fill="auto"/>
            <w:noWrap/>
            <w:vAlign w:val="bottom"/>
            <w:hideMark/>
          </w:tcPr>
          <w:p w14:paraId="77A3420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17300</w:t>
            </w:r>
          </w:p>
        </w:tc>
        <w:tc>
          <w:tcPr>
            <w:tcW w:w="739" w:type="dxa"/>
            <w:tcBorders>
              <w:top w:val="nil"/>
              <w:left w:val="nil"/>
              <w:bottom w:val="single" w:sz="4" w:space="0" w:color="auto"/>
              <w:right w:val="single" w:sz="4" w:space="0" w:color="auto"/>
            </w:tcBorders>
            <w:shd w:val="clear" w:color="auto" w:fill="auto"/>
            <w:noWrap/>
            <w:vAlign w:val="bottom"/>
            <w:hideMark/>
          </w:tcPr>
          <w:p w14:paraId="4D29FBC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76</w:t>
            </w:r>
          </w:p>
        </w:tc>
        <w:tc>
          <w:tcPr>
            <w:tcW w:w="1329" w:type="dxa"/>
            <w:tcBorders>
              <w:top w:val="nil"/>
              <w:left w:val="nil"/>
              <w:bottom w:val="single" w:sz="4" w:space="0" w:color="auto"/>
              <w:right w:val="single" w:sz="4" w:space="0" w:color="auto"/>
            </w:tcBorders>
            <w:shd w:val="clear" w:color="auto" w:fill="auto"/>
            <w:noWrap/>
            <w:vAlign w:val="bottom"/>
            <w:hideMark/>
          </w:tcPr>
          <w:p w14:paraId="5EAC383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30100</w:t>
            </w:r>
          </w:p>
        </w:tc>
        <w:tc>
          <w:tcPr>
            <w:tcW w:w="739" w:type="dxa"/>
            <w:tcBorders>
              <w:top w:val="nil"/>
              <w:left w:val="nil"/>
              <w:bottom w:val="single" w:sz="4" w:space="0" w:color="auto"/>
              <w:right w:val="single" w:sz="4" w:space="0" w:color="auto"/>
            </w:tcBorders>
            <w:shd w:val="clear" w:color="auto" w:fill="auto"/>
            <w:noWrap/>
            <w:vAlign w:val="bottom"/>
            <w:hideMark/>
          </w:tcPr>
          <w:p w14:paraId="0FF6522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108</w:t>
            </w:r>
          </w:p>
        </w:tc>
        <w:tc>
          <w:tcPr>
            <w:tcW w:w="1329" w:type="dxa"/>
            <w:tcBorders>
              <w:top w:val="nil"/>
              <w:left w:val="nil"/>
              <w:bottom w:val="single" w:sz="4" w:space="0" w:color="auto"/>
              <w:right w:val="single" w:sz="8" w:space="0" w:color="auto"/>
            </w:tcBorders>
            <w:shd w:val="clear" w:color="auto" w:fill="auto"/>
            <w:vAlign w:val="center"/>
            <w:hideMark/>
          </w:tcPr>
          <w:p w14:paraId="77BB7644"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02A9EE57"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52F8EF6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13</w:t>
            </w:r>
          </w:p>
        </w:tc>
        <w:tc>
          <w:tcPr>
            <w:tcW w:w="1329" w:type="dxa"/>
            <w:tcBorders>
              <w:top w:val="nil"/>
              <w:left w:val="nil"/>
              <w:bottom w:val="single" w:sz="4" w:space="0" w:color="auto"/>
              <w:right w:val="single" w:sz="4" w:space="0" w:color="auto"/>
            </w:tcBorders>
            <w:shd w:val="clear" w:color="auto" w:fill="auto"/>
            <w:noWrap/>
            <w:vAlign w:val="bottom"/>
            <w:hideMark/>
          </w:tcPr>
          <w:p w14:paraId="33055CB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4900</w:t>
            </w:r>
          </w:p>
        </w:tc>
        <w:tc>
          <w:tcPr>
            <w:tcW w:w="739" w:type="dxa"/>
            <w:tcBorders>
              <w:top w:val="nil"/>
              <w:left w:val="nil"/>
              <w:bottom w:val="single" w:sz="4" w:space="0" w:color="auto"/>
              <w:right w:val="single" w:sz="4" w:space="0" w:color="auto"/>
            </w:tcBorders>
            <w:shd w:val="clear" w:color="auto" w:fill="auto"/>
            <w:noWrap/>
            <w:vAlign w:val="center"/>
            <w:hideMark/>
          </w:tcPr>
          <w:p w14:paraId="6FC1F26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45</w:t>
            </w:r>
          </w:p>
        </w:tc>
        <w:tc>
          <w:tcPr>
            <w:tcW w:w="1329" w:type="dxa"/>
            <w:tcBorders>
              <w:top w:val="nil"/>
              <w:left w:val="nil"/>
              <w:bottom w:val="single" w:sz="4" w:space="0" w:color="auto"/>
              <w:right w:val="single" w:sz="4" w:space="0" w:color="auto"/>
            </w:tcBorders>
            <w:shd w:val="clear" w:color="auto" w:fill="auto"/>
            <w:noWrap/>
            <w:vAlign w:val="bottom"/>
            <w:hideMark/>
          </w:tcPr>
          <w:p w14:paraId="7E7E30A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17700</w:t>
            </w:r>
          </w:p>
        </w:tc>
        <w:tc>
          <w:tcPr>
            <w:tcW w:w="739" w:type="dxa"/>
            <w:tcBorders>
              <w:top w:val="nil"/>
              <w:left w:val="nil"/>
              <w:bottom w:val="single" w:sz="4" w:space="0" w:color="auto"/>
              <w:right w:val="single" w:sz="4" w:space="0" w:color="auto"/>
            </w:tcBorders>
            <w:shd w:val="clear" w:color="auto" w:fill="auto"/>
            <w:noWrap/>
            <w:vAlign w:val="bottom"/>
            <w:hideMark/>
          </w:tcPr>
          <w:p w14:paraId="4A1DC75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77</w:t>
            </w:r>
          </w:p>
        </w:tc>
        <w:tc>
          <w:tcPr>
            <w:tcW w:w="1329" w:type="dxa"/>
            <w:tcBorders>
              <w:top w:val="nil"/>
              <w:left w:val="nil"/>
              <w:bottom w:val="single" w:sz="4" w:space="0" w:color="auto"/>
              <w:right w:val="single" w:sz="4" w:space="0" w:color="auto"/>
            </w:tcBorders>
            <w:shd w:val="clear" w:color="auto" w:fill="auto"/>
            <w:noWrap/>
            <w:vAlign w:val="bottom"/>
            <w:hideMark/>
          </w:tcPr>
          <w:p w14:paraId="73754FD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30500</w:t>
            </w:r>
          </w:p>
        </w:tc>
        <w:tc>
          <w:tcPr>
            <w:tcW w:w="739" w:type="dxa"/>
            <w:tcBorders>
              <w:top w:val="nil"/>
              <w:left w:val="nil"/>
              <w:bottom w:val="single" w:sz="4" w:space="0" w:color="auto"/>
              <w:right w:val="single" w:sz="4" w:space="0" w:color="auto"/>
            </w:tcBorders>
            <w:shd w:val="clear" w:color="auto" w:fill="auto"/>
            <w:noWrap/>
            <w:vAlign w:val="bottom"/>
            <w:hideMark/>
          </w:tcPr>
          <w:p w14:paraId="7685A36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109</w:t>
            </w:r>
          </w:p>
        </w:tc>
        <w:tc>
          <w:tcPr>
            <w:tcW w:w="1329" w:type="dxa"/>
            <w:tcBorders>
              <w:top w:val="nil"/>
              <w:left w:val="nil"/>
              <w:bottom w:val="single" w:sz="4" w:space="0" w:color="auto"/>
              <w:right w:val="single" w:sz="8" w:space="0" w:color="auto"/>
            </w:tcBorders>
            <w:shd w:val="clear" w:color="auto" w:fill="auto"/>
            <w:vAlign w:val="center"/>
            <w:hideMark/>
          </w:tcPr>
          <w:p w14:paraId="7FDAA99D"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5F9F8803"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4C292E4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14</w:t>
            </w:r>
          </w:p>
        </w:tc>
        <w:tc>
          <w:tcPr>
            <w:tcW w:w="1329" w:type="dxa"/>
            <w:tcBorders>
              <w:top w:val="nil"/>
              <w:left w:val="nil"/>
              <w:bottom w:val="single" w:sz="4" w:space="0" w:color="auto"/>
              <w:right w:val="single" w:sz="4" w:space="0" w:color="auto"/>
            </w:tcBorders>
            <w:shd w:val="clear" w:color="auto" w:fill="auto"/>
            <w:noWrap/>
            <w:vAlign w:val="bottom"/>
            <w:hideMark/>
          </w:tcPr>
          <w:p w14:paraId="62E18694"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5300</w:t>
            </w:r>
          </w:p>
        </w:tc>
        <w:tc>
          <w:tcPr>
            <w:tcW w:w="739" w:type="dxa"/>
            <w:tcBorders>
              <w:top w:val="nil"/>
              <w:left w:val="nil"/>
              <w:bottom w:val="single" w:sz="4" w:space="0" w:color="auto"/>
              <w:right w:val="single" w:sz="4" w:space="0" w:color="auto"/>
            </w:tcBorders>
            <w:shd w:val="clear" w:color="auto" w:fill="auto"/>
            <w:noWrap/>
            <w:vAlign w:val="center"/>
            <w:hideMark/>
          </w:tcPr>
          <w:p w14:paraId="00F4C75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46</w:t>
            </w:r>
          </w:p>
        </w:tc>
        <w:tc>
          <w:tcPr>
            <w:tcW w:w="1329" w:type="dxa"/>
            <w:tcBorders>
              <w:top w:val="nil"/>
              <w:left w:val="nil"/>
              <w:bottom w:val="single" w:sz="4" w:space="0" w:color="auto"/>
              <w:right w:val="single" w:sz="4" w:space="0" w:color="auto"/>
            </w:tcBorders>
            <w:shd w:val="clear" w:color="auto" w:fill="auto"/>
            <w:noWrap/>
            <w:vAlign w:val="bottom"/>
            <w:hideMark/>
          </w:tcPr>
          <w:p w14:paraId="49910E54"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18100</w:t>
            </w:r>
          </w:p>
        </w:tc>
        <w:tc>
          <w:tcPr>
            <w:tcW w:w="739" w:type="dxa"/>
            <w:tcBorders>
              <w:top w:val="nil"/>
              <w:left w:val="nil"/>
              <w:bottom w:val="single" w:sz="4" w:space="0" w:color="auto"/>
              <w:right w:val="single" w:sz="4" w:space="0" w:color="auto"/>
            </w:tcBorders>
            <w:shd w:val="clear" w:color="auto" w:fill="auto"/>
            <w:noWrap/>
            <w:vAlign w:val="bottom"/>
            <w:hideMark/>
          </w:tcPr>
          <w:p w14:paraId="5CDF9AA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78</w:t>
            </w:r>
          </w:p>
        </w:tc>
        <w:tc>
          <w:tcPr>
            <w:tcW w:w="1329" w:type="dxa"/>
            <w:tcBorders>
              <w:top w:val="nil"/>
              <w:left w:val="nil"/>
              <w:bottom w:val="single" w:sz="4" w:space="0" w:color="auto"/>
              <w:right w:val="single" w:sz="4" w:space="0" w:color="auto"/>
            </w:tcBorders>
            <w:shd w:val="clear" w:color="auto" w:fill="auto"/>
            <w:noWrap/>
            <w:vAlign w:val="bottom"/>
            <w:hideMark/>
          </w:tcPr>
          <w:p w14:paraId="093D2B2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30900</w:t>
            </w:r>
          </w:p>
        </w:tc>
        <w:tc>
          <w:tcPr>
            <w:tcW w:w="739" w:type="dxa"/>
            <w:tcBorders>
              <w:top w:val="nil"/>
              <w:left w:val="nil"/>
              <w:bottom w:val="single" w:sz="4" w:space="0" w:color="auto"/>
              <w:right w:val="single" w:sz="4" w:space="0" w:color="auto"/>
            </w:tcBorders>
            <w:shd w:val="clear" w:color="auto" w:fill="auto"/>
            <w:noWrap/>
            <w:vAlign w:val="bottom"/>
            <w:hideMark/>
          </w:tcPr>
          <w:p w14:paraId="0AAD1DE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110</w:t>
            </w:r>
          </w:p>
        </w:tc>
        <w:tc>
          <w:tcPr>
            <w:tcW w:w="1329" w:type="dxa"/>
            <w:tcBorders>
              <w:top w:val="nil"/>
              <w:left w:val="nil"/>
              <w:bottom w:val="single" w:sz="4" w:space="0" w:color="auto"/>
              <w:right w:val="single" w:sz="8" w:space="0" w:color="auto"/>
            </w:tcBorders>
            <w:shd w:val="clear" w:color="auto" w:fill="auto"/>
            <w:vAlign w:val="center"/>
            <w:hideMark/>
          </w:tcPr>
          <w:p w14:paraId="2E61239A"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4B996C56"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0631B65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15</w:t>
            </w:r>
          </w:p>
        </w:tc>
        <w:tc>
          <w:tcPr>
            <w:tcW w:w="1329" w:type="dxa"/>
            <w:tcBorders>
              <w:top w:val="nil"/>
              <w:left w:val="nil"/>
              <w:bottom w:val="single" w:sz="4" w:space="0" w:color="auto"/>
              <w:right w:val="single" w:sz="4" w:space="0" w:color="auto"/>
            </w:tcBorders>
            <w:shd w:val="clear" w:color="auto" w:fill="auto"/>
            <w:noWrap/>
            <w:vAlign w:val="bottom"/>
            <w:hideMark/>
          </w:tcPr>
          <w:p w14:paraId="3C2D7DA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5700</w:t>
            </w:r>
          </w:p>
        </w:tc>
        <w:tc>
          <w:tcPr>
            <w:tcW w:w="739" w:type="dxa"/>
            <w:tcBorders>
              <w:top w:val="nil"/>
              <w:left w:val="nil"/>
              <w:bottom w:val="single" w:sz="4" w:space="0" w:color="auto"/>
              <w:right w:val="single" w:sz="4" w:space="0" w:color="auto"/>
            </w:tcBorders>
            <w:shd w:val="clear" w:color="auto" w:fill="auto"/>
            <w:noWrap/>
            <w:vAlign w:val="center"/>
            <w:hideMark/>
          </w:tcPr>
          <w:p w14:paraId="383B2DA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47</w:t>
            </w:r>
          </w:p>
        </w:tc>
        <w:tc>
          <w:tcPr>
            <w:tcW w:w="1329" w:type="dxa"/>
            <w:tcBorders>
              <w:top w:val="nil"/>
              <w:left w:val="nil"/>
              <w:bottom w:val="single" w:sz="4" w:space="0" w:color="auto"/>
              <w:right w:val="single" w:sz="4" w:space="0" w:color="auto"/>
            </w:tcBorders>
            <w:shd w:val="clear" w:color="auto" w:fill="auto"/>
            <w:noWrap/>
            <w:vAlign w:val="bottom"/>
            <w:hideMark/>
          </w:tcPr>
          <w:p w14:paraId="5153A81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18500</w:t>
            </w:r>
          </w:p>
        </w:tc>
        <w:tc>
          <w:tcPr>
            <w:tcW w:w="739" w:type="dxa"/>
            <w:tcBorders>
              <w:top w:val="nil"/>
              <w:left w:val="nil"/>
              <w:bottom w:val="single" w:sz="4" w:space="0" w:color="auto"/>
              <w:right w:val="single" w:sz="4" w:space="0" w:color="auto"/>
            </w:tcBorders>
            <w:shd w:val="clear" w:color="auto" w:fill="auto"/>
            <w:noWrap/>
            <w:vAlign w:val="bottom"/>
            <w:hideMark/>
          </w:tcPr>
          <w:p w14:paraId="1164C304"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79</w:t>
            </w:r>
          </w:p>
        </w:tc>
        <w:tc>
          <w:tcPr>
            <w:tcW w:w="1329" w:type="dxa"/>
            <w:tcBorders>
              <w:top w:val="nil"/>
              <w:left w:val="nil"/>
              <w:bottom w:val="single" w:sz="4" w:space="0" w:color="auto"/>
              <w:right w:val="single" w:sz="4" w:space="0" w:color="auto"/>
            </w:tcBorders>
            <w:shd w:val="clear" w:color="auto" w:fill="auto"/>
            <w:noWrap/>
            <w:vAlign w:val="bottom"/>
            <w:hideMark/>
          </w:tcPr>
          <w:p w14:paraId="619A349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31300</w:t>
            </w:r>
          </w:p>
        </w:tc>
        <w:tc>
          <w:tcPr>
            <w:tcW w:w="739" w:type="dxa"/>
            <w:tcBorders>
              <w:top w:val="nil"/>
              <w:left w:val="nil"/>
              <w:bottom w:val="single" w:sz="4" w:space="0" w:color="auto"/>
              <w:right w:val="single" w:sz="4" w:space="0" w:color="auto"/>
            </w:tcBorders>
            <w:shd w:val="clear" w:color="auto" w:fill="auto"/>
            <w:noWrap/>
            <w:vAlign w:val="bottom"/>
            <w:hideMark/>
          </w:tcPr>
          <w:p w14:paraId="73DF566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111</w:t>
            </w:r>
          </w:p>
        </w:tc>
        <w:tc>
          <w:tcPr>
            <w:tcW w:w="1329" w:type="dxa"/>
            <w:tcBorders>
              <w:top w:val="nil"/>
              <w:left w:val="nil"/>
              <w:bottom w:val="single" w:sz="4" w:space="0" w:color="auto"/>
              <w:right w:val="single" w:sz="8" w:space="0" w:color="auto"/>
            </w:tcBorders>
            <w:shd w:val="clear" w:color="auto" w:fill="auto"/>
            <w:vAlign w:val="center"/>
            <w:hideMark/>
          </w:tcPr>
          <w:p w14:paraId="5A034C78"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4B8E5DBE"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57DE09C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16</w:t>
            </w:r>
          </w:p>
        </w:tc>
        <w:tc>
          <w:tcPr>
            <w:tcW w:w="1329" w:type="dxa"/>
            <w:tcBorders>
              <w:top w:val="nil"/>
              <w:left w:val="nil"/>
              <w:bottom w:val="single" w:sz="4" w:space="0" w:color="auto"/>
              <w:right w:val="single" w:sz="4" w:space="0" w:color="auto"/>
            </w:tcBorders>
            <w:shd w:val="clear" w:color="auto" w:fill="auto"/>
            <w:noWrap/>
            <w:vAlign w:val="bottom"/>
            <w:hideMark/>
          </w:tcPr>
          <w:p w14:paraId="7C2A6F75"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6100</w:t>
            </w:r>
          </w:p>
        </w:tc>
        <w:tc>
          <w:tcPr>
            <w:tcW w:w="739" w:type="dxa"/>
            <w:tcBorders>
              <w:top w:val="nil"/>
              <w:left w:val="nil"/>
              <w:bottom w:val="single" w:sz="4" w:space="0" w:color="auto"/>
              <w:right w:val="single" w:sz="4" w:space="0" w:color="auto"/>
            </w:tcBorders>
            <w:shd w:val="clear" w:color="auto" w:fill="auto"/>
            <w:noWrap/>
            <w:vAlign w:val="center"/>
            <w:hideMark/>
          </w:tcPr>
          <w:p w14:paraId="0302DCF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48</w:t>
            </w:r>
          </w:p>
        </w:tc>
        <w:tc>
          <w:tcPr>
            <w:tcW w:w="1329" w:type="dxa"/>
            <w:tcBorders>
              <w:top w:val="nil"/>
              <w:left w:val="nil"/>
              <w:bottom w:val="single" w:sz="4" w:space="0" w:color="auto"/>
              <w:right w:val="single" w:sz="4" w:space="0" w:color="auto"/>
            </w:tcBorders>
            <w:shd w:val="clear" w:color="auto" w:fill="auto"/>
            <w:noWrap/>
            <w:vAlign w:val="bottom"/>
            <w:hideMark/>
          </w:tcPr>
          <w:p w14:paraId="1FE45E3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18900</w:t>
            </w:r>
          </w:p>
        </w:tc>
        <w:tc>
          <w:tcPr>
            <w:tcW w:w="739" w:type="dxa"/>
            <w:tcBorders>
              <w:top w:val="nil"/>
              <w:left w:val="nil"/>
              <w:bottom w:val="single" w:sz="4" w:space="0" w:color="auto"/>
              <w:right w:val="single" w:sz="4" w:space="0" w:color="auto"/>
            </w:tcBorders>
            <w:shd w:val="clear" w:color="auto" w:fill="auto"/>
            <w:noWrap/>
            <w:vAlign w:val="bottom"/>
            <w:hideMark/>
          </w:tcPr>
          <w:p w14:paraId="16FFB72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80</w:t>
            </w:r>
          </w:p>
        </w:tc>
        <w:tc>
          <w:tcPr>
            <w:tcW w:w="1329" w:type="dxa"/>
            <w:tcBorders>
              <w:top w:val="nil"/>
              <w:left w:val="nil"/>
              <w:bottom w:val="single" w:sz="4" w:space="0" w:color="auto"/>
              <w:right w:val="single" w:sz="4" w:space="0" w:color="auto"/>
            </w:tcBorders>
            <w:shd w:val="clear" w:color="auto" w:fill="auto"/>
            <w:noWrap/>
            <w:vAlign w:val="bottom"/>
            <w:hideMark/>
          </w:tcPr>
          <w:p w14:paraId="6B215895"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31700</w:t>
            </w:r>
          </w:p>
        </w:tc>
        <w:tc>
          <w:tcPr>
            <w:tcW w:w="739" w:type="dxa"/>
            <w:tcBorders>
              <w:top w:val="nil"/>
              <w:left w:val="nil"/>
              <w:bottom w:val="single" w:sz="4" w:space="0" w:color="auto"/>
              <w:right w:val="single" w:sz="4" w:space="0" w:color="auto"/>
            </w:tcBorders>
            <w:shd w:val="clear" w:color="auto" w:fill="auto"/>
            <w:noWrap/>
            <w:vAlign w:val="bottom"/>
            <w:hideMark/>
          </w:tcPr>
          <w:p w14:paraId="7950460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112</w:t>
            </w:r>
          </w:p>
        </w:tc>
        <w:tc>
          <w:tcPr>
            <w:tcW w:w="1329" w:type="dxa"/>
            <w:tcBorders>
              <w:top w:val="nil"/>
              <w:left w:val="nil"/>
              <w:bottom w:val="single" w:sz="4" w:space="0" w:color="auto"/>
              <w:right w:val="single" w:sz="8" w:space="0" w:color="auto"/>
            </w:tcBorders>
            <w:shd w:val="clear" w:color="auto" w:fill="auto"/>
            <w:vAlign w:val="center"/>
            <w:hideMark/>
          </w:tcPr>
          <w:p w14:paraId="179BB57E"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2AB6BB5C"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2FAF19F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17</w:t>
            </w:r>
          </w:p>
        </w:tc>
        <w:tc>
          <w:tcPr>
            <w:tcW w:w="1329" w:type="dxa"/>
            <w:tcBorders>
              <w:top w:val="nil"/>
              <w:left w:val="nil"/>
              <w:bottom w:val="single" w:sz="4" w:space="0" w:color="auto"/>
              <w:right w:val="single" w:sz="4" w:space="0" w:color="auto"/>
            </w:tcBorders>
            <w:shd w:val="clear" w:color="auto" w:fill="auto"/>
            <w:noWrap/>
            <w:vAlign w:val="bottom"/>
            <w:hideMark/>
          </w:tcPr>
          <w:p w14:paraId="6B84E23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6500</w:t>
            </w:r>
          </w:p>
        </w:tc>
        <w:tc>
          <w:tcPr>
            <w:tcW w:w="739" w:type="dxa"/>
            <w:tcBorders>
              <w:top w:val="nil"/>
              <w:left w:val="nil"/>
              <w:bottom w:val="single" w:sz="4" w:space="0" w:color="auto"/>
              <w:right w:val="single" w:sz="4" w:space="0" w:color="auto"/>
            </w:tcBorders>
            <w:shd w:val="clear" w:color="auto" w:fill="auto"/>
            <w:noWrap/>
            <w:vAlign w:val="center"/>
            <w:hideMark/>
          </w:tcPr>
          <w:p w14:paraId="63E63F2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49</w:t>
            </w:r>
          </w:p>
        </w:tc>
        <w:tc>
          <w:tcPr>
            <w:tcW w:w="1329" w:type="dxa"/>
            <w:tcBorders>
              <w:top w:val="nil"/>
              <w:left w:val="nil"/>
              <w:bottom w:val="single" w:sz="4" w:space="0" w:color="auto"/>
              <w:right w:val="single" w:sz="4" w:space="0" w:color="auto"/>
            </w:tcBorders>
            <w:shd w:val="clear" w:color="auto" w:fill="auto"/>
            <w:noWrap/>
            <w:vAlign w:val="bottom"/>
            <w:hideMark/>
          </w:tcPr>
          <w:p w14:paraId="131099D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19300</w:t>
            </w:r>
          </w:p>
        </w:tc>
        <w:tc>
          <w:tcPr>
            <w:tcW w:w="739" w:type="dxa"/>
            <w:tcBorders>
              <w:top w:val="nil"/>
              <w:left w:val="nil"/>
              <w:bottom w:val="single" w:sz="4" w:space="0" w:color="auto"/>
              <w:right w:val="single" w:sz="4" w:space="0" w:color="auto"/>
            </w:tcBorders>
            <w:shd w:val="clear" w:color="auto" w:fill="auto"/>
            <w:noWrap/>
            <w:vAlign w:val="bottom"/>
            <w:hideMark/>
          </w:tcPr>
          <w:p w14:paraId="7EEAF0E5"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81</w:t>
            </w:r>
          </w:p>
        </w:tc>
        <w:tc>
          <w:tcPr>
            <w:tcW w:w="1329" w:type="dxa"/>
            <w:tcBorders>
              <w:top w:val="nil"/>
              <w:left w:val="nil"/>
              <w:bottom w:val="single" w:sz="4" w:space="0" w:color="auto"/>
              <w:right w:val="single" w:sz="4" w:space="0" w:color="auto"/>
            </w:tcBorders>
            <w:shd w:val="clear" w:color="auto" w:fill="auto"/>
            <w:noWrap/>
            <w:vAlign w:val="bottom"/>
            <w:hideMark/>
          </w:tcPr>
          <w:p w14:paraId="162883F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32100</w:t>
            </w:r>
          </w:p>
        </w:tc>
        <w:tc>
          <w:tcPr>
            <w:tcW w:w="739" w:type="dxa"/>
            <w:tcBorders>
              <w:top w:val="nil"/>
              <w:left w:val="nil"/>
              <w:bottom w:val="single" w:sz="4" w:space="0" w:color="auto"/>
              <w:right w:val="single" w:sz="4" w:space="0" w:color="auto"/>
            </w:tcBorders>
            <w:shd w:val="clear" w:color="auto" w:fill="auto"/>
            <w:noWrap/>
            <w:vAlign w:val="bottom"/>
            <w:hideMark/>
          </w:tcPr>
          <w:p w14:paraId="2B5A8D0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113</w:t>
            </w:r>
          </w:p>
        </w:tc>
        <w:tc>
          <w:tcPr>
            <w:tcW w:w="1329" w:type="dxa"/>
            <w:tcBorders>
              <w:top w:val="nil"/>
              <w:left w:val="nil"/>
              <w:bottom w:val="single" w:sz="4" w:space="0" w:color="auto"/>
              <w:right w:val="single" w:sz="8" w:space="0" w:color="auto"/>
            </w:tcBorders>
            <w:shd w:val="clear" w:color="auto" w:fill="auto"/>
            <w:vAlign w:val="center"/>
            <w:hideMark/>
          </w:tcPr>
          <w:p w14:paraId="4BE1A654"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2BC90AE3"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3F3E7FE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18</w:t>
            </w:r>
          </w:p>
        </w:tc>
        <w:tc>
          <w:tcPr>
            <w:tcW w:w="1329" w:type="dxa"/>
            <w:tcBorders>
              <w:top w:val="nil"/>
              <w:left w:val="nil"/>
              <w:bottom w:val="single" w:sz="4" w:space="0" w:color="auto"/>
              <w:right w:val="single" w:sz="4" w:space="0" w:color="auto"/>
            </w:tcBorders>
            <w:shd w:val="clear" w:color="auto" w:fill="auto"/>
            <w:noWrap/>
            <w:vAlign w:val="bottom"/>
            <w:hideMark/>
          </w:tcPr>
          <w:p w14:paraId="5BBDA5B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6900</w:t>
            </w:r>
          </w:p>
        </w:tc>
        <w:tc>
          <w:tcPr>
            <w:tcW w:w="739" w:type="dxa"/>
            <w:tcBorders>
              <w:top w:val="nil"/>
              <w:left w:val="nil"/>
              <w:bottom w:val="single" w:sz="4" w:space="0" w:color="auto"/>
              <w:right w:val="single" w:sz="4" w:space="0" w:color="auto"/>
            </w:tcBorders>
            <w:shd w:val="clear" w:color="auto" w:fill="auto"/>
            <w:noWrap/>
            <w:vAlign w:val="center"/>
            <w:hideMark/>
          </w:tcPr>
          <w:p w14:paraId="158A8345"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50</w:t>
            </w:r>
          </w:p>
        </w:tc>
        <w:tc>
          <w:tcPr>
            <w:tcW w:w="1329" w:type="dxa"/>
            <w:tcBorders>
              <w:top w:val="nil"/>
              <w:left w:val="nil"/>
              <w:bottom w:val="single" w:sz="4" w:space="0" w:color="auto"/>
              <w:right w:val="single" w:sz="4" w:space="0" w:color="auto"/>
            </w:tcBorders>
            <w:shd w:val="clear" w:color="auto" w:fill="auto"/>
            <w:noWrap/>
            <w:vAlign w:val="bottom"/>
            <w:hideMark/>
          </w:tcPr>
          <w:p w14:paraId="7DDAAD3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19700</w:t>
            </w:r>
          </w:p>
        </w:tc>
        <w:tc>
          <w:tcPr>
            <w:tcW w:w="739" w:type="dxa"/>
            <w:tcBorders>
              <w:top w:val="nil"/>
              <w:left w:val="nil"/>
              <w:bottom w:val="single" w:sz="4" w:space="0" w:color="auto"/>
              <w:right w:val="single" w:sz="4" w:space="0" w:color="auto"/>
            </w:tcBorders>
            <w:shd w:val="clear" w:color="auto" w:fill="auto"/>
            <w:noWrap/>
            <w:vAlign w:val="bottom"/>
            <w:hideMark/>
          </w:tcPr>
          <w:p w14:paraId="49348EF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82</w:t>
            </w:r>
          </w:p>
        </w:tc>
        <w:tc>
          <w:tcPr>
            <w:tcW w:w="1329" w:type="dxa"/>
            <w:tcBorders>
              <w:top w:val="nil"/>
              <w:left w:val="nil"/>
              <w:bottom w:val="single" w:sz="4" w:space="0" w:color="auto"/>
              <w:right w:val="single" w:sz="4" w:space="0" w:color="auto"/>
            </w:tcBorders>
            <w:shd w:val="clear" w:color="auto" w:fill="auto"/>
            <w:noWrap/>
            <w:vAlign w:val="bottom"/>
            <w:hideMark/>
          </w:tcPr>
          <w:p w14:paraId="005E891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32500</w:t>
            </w:r>
          </w:p>
        </w:tc>
        <w:tc>
          <w:tcPr>
            <w:tcW w:w="739" w:type="dxa"/>
            <w:tcBorders>
              <w:top w:val="nil"/>
              <w:left w:val="nil"/>
              <w:bottom w:val="single" w:sz="4" w:space="0" w:color="auto"/>
              <w:right w:val="single" w:sz="4" w:space="0" w:color="auto"/>
            </w:tcBorders>
            <w:shd w:val="clear" w:color="auto" w:fill="auto"/>
            <w:noWrap/>
            <w:vAlign w:val="bottom"/>
            <w:hideMark/>
          </w:tcPr>
          <w:p w14:paraId="45BE9AB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114</w:t>
            </w:r>
          </w:p>
        </w:tc>
        <w:tc>
          <w:tcPr>
            <w:tcW w:w="1329" w:type="dxa"/>
            <w:tcBorders>
              <w:top w:val="nil"/>
              <w:left w:val="nil"/>
              <w:bottom w:val="single" w:sz="4" w:space="0" w:color="auto"/>
              <w:right w:val="single" w:sz="8" w:space="0" w:color="auto"/>
            </w:tcBorders>
            <w:shd w:val="clear" w:color="auto" w:fill="auto"/>
            <w:vAlign w:val="center"/>
            <w:hideMark/>
          </w:tcPr>
          <w:p w14:paraId="3C412F86"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3BF4E20B"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5AB36CD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19</w:t>
            </w:r>
          </w:p>
        </w:tc>
        <w:tc>
          <w:tcPr>
            <w:tcW w:w="1329" w:type="dxa"/>
            <w:tcBorders>
              <w:top w:val="nil"/>
              <w:left w:val="nil"/>
              <w:bottom w:val="single" w:sz="4" w:space="0" w:color="auto"/>
              <w:right w:val="single" w:sz="4" w:space="0" w:color="auto"/>
            </w:tcBorders>
            <w:shd w:val="clear" w:color="auto" w:fill="auto"/>
            <w:noWrap/>
            <w:vAlign w:val="bottom"/>
            <w:hideMark/>
          </w:tcPr>
          <w:p w14:paraId="3062A3A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7300</w:t>
            </w:r>
          </w:p>
        </w:tc>
        <w:tc>
          <w:tcPr>
            <w:tcW w:w="739" w:type="dxa"/>
            <w:tcBorders>
              <w:top w:val="nil"/>
              <w:left w:val="nil"/>
              <w:bottom w:val="single" w:sz="4" w:space="0" w:color="auto"/>
              <w:right w:val="single" w:sz="4" w:space="0" w:color="auto"/>
            </w:tcBorders>
            <w:shd w:val="clear" w:color="auto" w:fill="auto"/>
            <w:noWrap/>
            <w:vAlign w:val="center"/>
            <w:hideMark/>
          </w:tcPr>
          <w:p w14:paraId="532C548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51</w:t>
            </w:r>
          </w:p>
        </w:tc>
        <w:tc>
          <w:tcPr>
            <w:tcW w:w="1329" w:type="dxa"/>
            <w:tcBorders>
              <w:top w:val="nil"/>
              <w:left w:val="nil"/>
              <w:bottom w:val="single" w:sz="4" w:space="0" w:color="auto"/>
              <w:right w:val="single" w:sz="4" w:space="0" w:color="auto"/>
            </w:tcBorders>
            <w:shd w:val="clear" w:color="auto" w:fill="auto"/>
            <w:noWrap/>
            <w:vAlign w:val="bottom"/>
            <w:hideMark/>
          </w:tcPr>
          <w:p w14:paraId="66B4386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20100</w:t>
            </w:r>
          </w:p>
        </w:tc>
        <w:tc>
          <w:tcPr>
            <w:tcW w:w="739" w:type="dxa"/>
            <w:tcBorders>
              <w:top w:val="nil"/>
              <w:left w:val="nil"/>
              <w:bottom w:val="single" w:sz="4" w:space="0" w:color="auto"/>
              <w:right w:val="single" w:sz="4" w:space="0" w:color="auto"/>
            </w:tcBorders>
            <w:shd w:val="clear" w:color="auto" w:fill="auto"/>
            <w:noWrap/>
            <w:vAlign w:val="bottom"/>
            <w:hideMark/>
          </w:tcPr>
          <w:p w14:paraId="2AE4B471"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83</w:t>
            </w:r>
          </w:p>
        </w:tc>
        <w:tc>
          <w:tcPr>
            <w:tcW w:w="1329" w:type="dxa"/>
            <w:tcBorders>
              <w:top w:val="nil"/>
              <w:left w:val="nil"/>
              <w:bottom w:val="single" w:sz="4" w:space="0" w:color="auto"/>
              <w:right w:val="single" w:sz="4" w:space="0" w:color="auto"/>
            </w:tcBorders>
            <w:shd w:val="clear" w:color="auto" w:fill="auto"/>
            <w:noWrap/>
            <w:vAlign w:val="bottom"/>
            <w:hideMark/>
          </w:tcPr>
          <w:p w14:paraId="22EB118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32900</w:t>
            </w:r>
          </w:p>
        </w:tc>
        <w:tc>
          <w:tcPr>
            <w:tcW w:w="739" w:type="dxa"/>
            <w:tcBorders>
              <w:top w:val="nil"/>
              <w:left w:val="nil"/>
              <w:bottom w:val="single" w:sz="4" w:space="0" w:color="auto"/>
              <w:right w:val="single" w:sz="4" w:space="0" w:color="auto"/>
            </w:tcBorders>
            <w:shd w:val="clear" w:color="auto" w:fill="auto"/>
            <w:noWrap/>
            <w:vAlign w:val="bottom"/>
            <w:hideMark/>
          </w:tcPr>
          <w:p w14:paraId="2F0CC7B5"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115</w:t>
            </w:r>
          </w:p>
        </w:tc>
        <w:tc>
          <w:tcPr>
            <w:tcW w:w="1329" w:type="dxa"/>
            <w:tcBorders>
              <w:top w:val="nil"/>
              <w:left w:val="nil"/>
              <w:bottom w:val="single" w:sz="4" w:space="0" w:color="auto"/>
              <w:right w:val="single" w:sz="8" w:space="0" w:color="auto"/>
            </w:tcBorders>
            <w:shd w:val="clear" w:color="auto" w:fill="auto"/>
            <w:vAlign w:val="center"/>
            <w:hideMark/>
          </w:tcPr>
          <w:p w14:paraId="185625CD"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2DF1CFA8"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3C909F2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20</w:t>
            </w:r>
          </w:p>
        </w:tc>
        <w:tc>
          <w:tcPr>
            <w:tcW w:w="1329" w:type="dxa"/>
            <w:tcBorders>
              <w:top w:val="nil"/>
              <w:left w:val="nil"/>
              <w:bottom w:val="single" w:sz="4" w:space="0" w:color="auto"/>
              <w:right w:val="single" w:sz="4" w:space="0" w:color="auto"/>
            </w:tcBorders>
            <w:shd w:val="clear" w:color="auto" w:fill="auto"/>
            <w:noWrap/>
            <w:vAlign w:val="bottom"/>
            <w:hideMark/>
          </w:tcPr>
          <w:p w14:paraId="13368F3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7700</w:t>
            </w:r>
          </w:p>
        </w:tc>
        <w:tc>
          <w:tcPr>
            <w:tcW w:w="739" w:type="dxa"/>
            <w:tcBorders>
              <w:top w:val="nil"/>
              <w:left w:val="nil"/>
              <w:bottom w:val="single" w:sz="4" w:space="0" w:color="auto"/>
              <w:right w:val="single" w:sz="4" w:space="0" w:color="auto"/>
            </w:tcBorders>
            <w:shd w:val="clear" w:color="auto" w:fill="auto"/>
            <w:noWrap/>
            <w:vAlign w:val="center"/>
            <w:hideMark/>
          </w:tcPr>
          <w:p w14:paraId="2F21B22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52</w:t>
            </w:r>
          </w:p>
        </w:tc>
        <w:tc>
          <w:tcPr>
            <w:tcW w:w="1329" w:type="dxa"/>
            <w:tcBorders>
              <w:top w:val="nil"/>
              <w:left w:val="nil"/>
              <w:bottom w:val="single" w:sz="4" w:space="0" w:color="auto"/>
              <w:right w:val="single" w:sz="4" w:space="0" w:color="auto"/>
            </w:tcBorders>
            <w:shd w:val="clear" w:color="auto" w:fill="auto"/>
            <w:noWrap/>
            <w:vAlign w:val="bottom"/>
            <w:hideMark/>
          </w:tcPr>
          <w:p w14:paraId="3ABBAB2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20500</w:t>
            </w:r>
          </w:p>
        </w:tc>
        <w:tc>
          <w:tcPr>
            <w:tcW w:w="739" w:type="dxa"/>
            <w:tcBorders>
              <w:top w:val="nil"/>
              <w:left w:val="nil"/>
              <w:bottom w:val="single" w:sz="4" w:space="0" w:color="auto"/>
              <w:right w:val="single" w:sz="4" w:space="0" w:color="auto"/>
            </w:tcBorders>
            <w:shd w:val="clear" w:color="auto" w:fill="auto"/>
            <w:noWrap/>
            <w:vAlign w:val="bottom"/>
            <w:hideMark/>
          </w:tcPr>
          <w:p w14:paraId="4CA2BB9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84</w:t>
            </w:r>
          </w:p>
        </w:tc>
        <w:tc>
          <w:tcPr>
            <w:tcW w:w="1329" w:type="dxa"/>
            <w:tcBorders>
              <w:top w:val="nil"/>
              <w:left w:val="nil"/>
              <w:bottom w:val="single" w:sz="4" w:space="0" w:color="auto"/>
              <w:right w:val="single" w:sz="4" w:space="0" w:color="auto"/>
            </w:tcBorders>
            <w:shd w:val="clear" w:color="auto" w:fill="auto"/>
            <w:noWrap/>
            <w:vAlign w:val="bottom"/>
            <w:hideMark/>
          </w:tcPr>
          <w:p w14:paraId="1A04167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33300</w:t>
            </w:r>
          </w:p>
        </w:tc>
        <w:tc>
          <w:tcPr>
            <w:tcW w:w="739" w:type="dxa"/>
            <w:tcBorders>
              <w:top w:val="nil"/>
              <w:left w:val="nil"/>
              <w:bottom w:val="single" w:sz="4" w:space="0" w:color="auto"/>
              <w:right w:val="single" w:sz="4" w:space="0" w:color="auto"/>
            </w:tcBorders>
            <w:shd w:val="clear" w:color="auto" w:fill="auto"/>
            <w:noWrap/>
            <w:vAlign w:val="bottom"/>
            <w:hideMark/>
          </w:tcPr>
          <w:p w14:paraId="29DF391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116</w:t>
            </w:r>
          </w:p>
        </w:tc>
        <w:tc>
          <w:tcPr>
            <w:tcW w:w="1329" w:type="dxa"/>
            <w:tcBorders>
              <w:top w:val="nil"/>
              <w:left w:val="nil"/>
              <w:bottom w:val="single" w:sz="4" w:space="0" w:color="auto"/>
              <w:right w:val="single" w:sz="8" w:space="0" w:color="auto"/>
            </w:tcBorders>
            <w:shd w:val="clear" w:color="auto" w:fill="auto"/>
            <w:vAlign w:val="center"/>
            <w:hideMark/>
          </w:tcPr>
          <w:p w14:paraId="739ECB7F"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361C7A2D"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30B8381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21</w:t>
            </w:r>
          </w:p>
        </w:tc>
        <w:tc>
          <w:tcPr>
            <w:tcW w:w="1329" w:type="dxa"/>
            <w:tcBorders>
              <w:top w:val="nil"/>
              <w:left w:val="nil"/>
              <w:bottom w:val="single" w:sz="4" w:space="0" w:color="auto"/>
              <w:right w:val="single" w:sz="4" w:space="0" w:color="auto"/>
            </w:tcBorders>
            <w:shd w:val="clear" w:color="auto" w:fill="auto"/>
            <w:noWrap/>
            <w:vAlign w:val="bottom"/>
            <w:hideMark/>
          </w:tcPr>
          <w:p w14:paraId="264BF4C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8100</w:t>
            </w:r>
          </w:p>
        </w:tc>
        <w:tc>
          <w:tcPr>
            <w:tcW w:w="739" w:type="dxa"/>
            <w:tcBorders>
              <w:top w:val="nil"/>
              <w:left w:val="nil"/>
              <w:bottom w:val="single" w:sz="4" w:space="0" w:color="auto"/>
              <w:right w:val="single" w:sz="4" w:space="0" w:color="auto"/>
            </w:tcBorders>
            <w:shd w:val="clear" w:color="auto" w:fill="auto"/>
            <w:noWrap/>
            <w:vAlign w:val="center"/>
            <w:hideMark/>
          </w:tcPr>
          <w:p w14:paraId="4AFAB29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53</w:t>
            </w:r>
          </w:p>
        </w:tc>
        <w:tc>
          <w:tcPr>
            <w:tcW w:w="1329" w:type="dxa"/>
            <w:tcBorders>
              <w:top w:val="nil"/>
              <w:left w:val="nil"/>
              <w:bottom w:val="single" w:sz="4" w:space="0" w:color="auto"/>
              <w:right w:val="single" w:sz="4" w:space="0" w:color="auto"/>
            </w:tcBorders>
            <w:shd w:val="clear" w:color="auto" w:fill="auto"/>
            <w:noWrap/>
            <w:vAlign w:val="bottom"/>
            <w:hideMark/>
          </w:tcPr>
          <w:p w14:paraId="0EA2101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20900</w:t>
            </w:r>
          </w:p>
        </w:tc>
        <w:tc>
          <w:tcPr>
            <w:tcW w:w="739" w:type="dxa"/>
            <w:tcBorders>
              <w:top w:val="nil"/>
              <w:left w:val="nil"/>
              <w:bottom w:val="single" w:sz="4" w:space="0" w:color="auto"/>
              <w:right w:val="single" w:sz="4" w:space="0" w:color="auto"/>
            </w:tcBorders>
            <w:shd w:val="clear" w:color="auto" w:fill="auto"/>
            <w:noWrap/>
            <w:vAlign w:val="bottom"/>
            <w:hideMark/>
          </w:tcPr>
          <w:p w14:paraId="7A5015E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85</w:t>
            </w:r>
          </w:p>
        </w:tc>
        <w:tc>
          <w:tcPr>
            <w:tcW w:w="1329" w:type="dxa"/>
            <w:tcBorders>
              <w:top w:val="nil"/>
              <w:left w:val="nil"/>
              <w:bottom w:val="single" w:sz="4" w:space="0" w:color="auto"/>
              <w:right w:val="single" w:sz="4" w:space="0" w:color="auto"/>
            </w:tcBorders>
            <w:shd w:val="clear" w:color="auto" w:fill="auto"/>
            <w:noWrap/>
            <w:vAlign w:val="bottom"/>
            <w:hideMark/>
          </w:tcPr>
          <w:p w14:paraId="6D6506B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33700</w:t>
            </w:r>
          </w:p>
        </w:tc>
        <w:tc>
          <w:tcPr>
            <w:tcW w:w="739" w:type="dxa"/>
            <w:tcBorders>
              <w:top w:val="nil"/>
              <w:left w:val="nil"/>
              <w:bottom w:val="single" w:sz="4" w:space="0" w:color="auto"/>
              <w:right w:val="single" w:sz="4" w:space="0" w:color="auto"/>
            </w:tcBorders>
            <w:shd w:val="clear" w:color="auto" w:fill="auto"/>
            <w:noWrap/>
            <w:vAlign w:val="bottom"/>
            <w:hideMark/>
          </w:tcPr>
          <w:p w14:paraId="57BEDB7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117</w:t>
            </w:r>
          </w:p>
        </w:tc>
        <w:tc>
          <w:tcPr>
            <w:tcW w:w="1329" w:type="dxa"/>
            <w:tcBorders>
              <w:top w:val="nil"/>
              <w:left w:val="nil"/>
              <w:bottom w:val="single" w:sz="4" w:space="0" w:color="auto"/>
              <w:right w:val="single" w:sz="8" w:space="0" w:color="auto"/>
            </w:tcBorders>
            <w:shd w:val="clear" w:color="auto" w:fill="auto"/>
            <w:vAlign w:val="center"/>
            <w:hideMark/>
          </w:tcPr>
          <w:p w14:paraId="4FF6475C"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1B1CF2FC"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7D87DD7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22</w:t>
            </w:r>
          </w:p>
        </w:tc>
        <w:tc>
          <w:tcPr>
            <w:tcW w:w="1329" w:type="dxa"/>
            <w:tcBorders>
              <w:top w:val="nil"/>
              <w:left w:val="nil"/>
              <w:bottom w:val="single" w:sz="4" w:space="0" w:color="auto"/>
              <w:right w:val="single" w:sz="4" w:space="0" w:color="auto"/>
            </w:tcBorders>
            <w:shd w:val="clear" w:color="auto" w:fill="auto"/>
            <w:noWrap/>
            <w:vAlign w:val="bottom"/>
            <w:hideMark/>
          </w:tcPr>
          <w:p w14:paraId="60475B1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8500</w:t>
            </w:r>
          </w:p>
        </w:tc>
        <w:tc>
          <w:tcPr>
            <w:tcW w:w="739" w:type="dxa"/>
            <w:tcBorders>
              <w:top w:val="nil"/>
              <w:left w:val="nil"/>
              <w:bottom w:val="single" w:sz="4" w:space="0" w:color="auto"/>
              <w:right w:val="single" w:sz="4" w:space="0" w:color="auto"/>
            </w:tcBorders>
            <w:shd w:val="clear" w:color="auto" w:fill="auto"/>
            <w:noWrap/>
            <w:vAlign w:val="center"/>
            <w:hideMark/>
          </w:tcPr>
          <w:p w14:paraId="2C7E8B2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54</w:t>
            </w:r>
          </w:p>
        </w:tc>
        <w:tc>
          <w:tcPr>
            <w:tcW w:w="1329" w:type="dxa"/>
            <w:tcBorders>
              <w:top w:val="nil"/>
              <w:left w:val="nil"/>
              <w:bottom w:val="single" w:sz="4" w:space="0" w:color="auto"/>
              <w:right w:val="single" w:sz="4" w:space="0" w:color="auto"/>
            </w:tcBorders>
            <w:shd w:val="clear" w:color="auto" w:fill="auto"/>
            <w:noWrap/>
            <w:vAlign w:val="bottom"/>
            <w:hideMark/>
          </w:tcPr>
          <w:p w14:paraId="0DAD0C1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21300</w:t>
            </w:r>
          </w:p>
        </w:tc>
        <w:tc>
          <w:tcPr>
            <w:tcW w:w="739" w:type="dxa"/>
            <w:tcBorders>
              <w:top w:val="nil"/>
              <w:left w:val="nil"/>
              <w:bottom w:val="single" w:sz="4" w:space="0" w:color="auto"/>
              <w:right w:val="single" w:sz="4" w:space="0" w:color="auto"/>
            </w:tcBorders>
            <w:shd w:val="clear" w:color="auto" w:fill="auto"/>
            <w:noWrap/>
            <w:vAlign w:val="bottom"/>
            <w:hideMark/>
          </w:tcPr>
          <w:p w14:paraId="42B4CB2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86</w:t>
            </w:r>
          </w:p>
        </w:tc>
        <w:tc>
          <w:tcPr>
            <w:tcW w:w="1329" w:type="dxa"/>
            <w:tcBorders>
              <w:top w:val="nil"/>
              <w:left w:val="nil"/>
              <w:bottom w:val="single" w:sz="4" w:space="0" w:color="auto"/>
              <w:right w:val="single" w:sz="4" w:space="0" w:color="auto"/>
            </w:tcBorders>
            <w:shd w:val="clear" w:color="auto" w:fill="auto"/>
            <w:noWrap/>
            <w:vAlign w:val="bottom"/>
            <w:hideMark/>
          </w:tcPr>
          <w:p w14:paraId="2CE2955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34100</w:t>
            </w:r>
          </w:p>
        </w:tc>
        <w:tc>
          <w:tcPr>
            <w:tcW w:w="739" w:type="dxa"/>
            <w:tcBorders>
              <w:top w:val="nil"/>
              <w:left w:val="nil"/>
              <w:bottom w:val="single" w:sz="4" w:space="0" w:color="auto"/>
              <w:right w:val="single" w:sz="4" w:space="0" w:color="auto"/>
            </w:tcBorders>
            <w:shd w:val="clear" w:color="auto" w:fill="auto"/>
            <w:noWrap/>
            <w:vAlign w:val="bottom"/>
            <w:hideMark/>
          </w:tcPr>
          <w:p w14:paraId="0B884CA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118</w:t>
            </w:r>
          </w:p>
        </w:tc>
        <w:tc>
          <w:tcPr>
            <w:tcW w:w="1329" w:type="dxa"/>
            <w:tcBorders>
              <w:top w:val="nil"/>
              <w:left w:val="nil"/>
              <w:bottom w:val="single" w:sz="4" w:space="0" w:color="auto"/>
              <w:right w:val="single" w:sz="8" w:space="0" w:color="auto"/>
            </w:tcBorders>
            <w:shd w:val="clear" w:color="auto" w:fill="auto"/>
            <w:vAlign w:val="center"/>
            <w:hideMark/>
          </w:tcPr>
          <w:p w14:paraId="06F25E6B"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77CC03AC"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40A2654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23</w:t>
            </w:r>
          </w:p>
        </w:tc>
        <w:tc>
          <w:tcPr>
            <w:tcW w:w="1329" w:type="dxa"/>
            <w:tcBorders>
              <w:top w:val="nil"/>
              <w:left w:val="nil"/>
              <w:bottom w:val="single" w:sz="4" w:space="0" w:color="auto"/>
              <w:right w:val="single" w:sz="4" w:space="0" w:color="auto"/>
            </w:tcBorders>
            <w:shd w:val="clear" w:color="auto" w:fill="auto"/>
            <w:noWrap/>
            <w:vAlign w:val="bottom"/>
            <w:hideMark/>
          </w:tcPr>
          <w:p w14:paraId="3114CD7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8900</w:t>
            </w:r>
          </w:p>
        </w:tc>
        <w:tc>
          <w:tcPr>
            <w:tcW w:w="739" w:type="dxa"/>
            <w:tcBorders>
              <w:top w:val="nil"/>
              <w:left w:val="nil"/>
              <w:bottom w:val="single" w:sz="4" w:space="0" w:color="auto"/>
              <w:right w:val="single" w:sz="4" w:space="0" w:color="auto"/>
            </w:tcBorders>
            <w:shd w:val="clear" w:color="auto" w:fill="auto"/>
            <w:noWrap/>
            <w:vAlign w:val="center"/>
            <w:hideMark/>
          </w:tcPr>
          <w:p w14:paraId="061BBC5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55</w:t>
            </w:r>
          </w:p>
        </w:tc>
        <w:tc>
          <w:tcPr>
            <w:tcW w:w="1329" w:type="dxa"/>
            <w:tcBorders>
              <w:top w:val="nil"/>
              <w:left w:val="nil"/>
              <w:bottom w:val="single" w:sz="4" w:space="0" w:color="auto"/>
              <w:right w:val="single" w:sz="4" w:space="0" w:color="auto"/>
            </w:tcBorders>
            <w:shd w:val="clear" w:color="auto" w:fill="auto"/>
            <w:noWrap/>
            <w:vAlign w:val="bottom"/>
            <w:hideMark/>
          </w:tcPr>
          <w:p w14:paraId="7115AC4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21700</w:t>
            </w:r>
          </w:p>
        </w:tc>
        <w:tc>
          <w:tcPr>
            <w:tcW w:w="739" w:type="dxa"/>
            <w:tcBorders>
              <w:top w:val="nil"/>
              <w:left w:val="nil"/>
              <w:bottom w:val="single" w:sz="4" w:space="0" w:color="auto"/>
              <w:right w:val="single" w:sz="4" w:space="0" w:color="auto"/>
            </w:tcBorders>
            <w:shd w:val="clear" w:color="auto" w:fill="auto"/>
            <w:noWrap/>
            <w:vAlign w:val="bottom"/>
            <w:hideMark/>
          </w:tcPr>
          <w:p w14:paraId="677EE2A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87</w:t>
            </w:r>
          </w:p>
        </w:tc>
        <w:tc>
          <w:tcPr>
            <w:tcW w:w="1329" w:type="dxa"/>
            <w:tcBorders>
              <w:top w:val="nil"/>
              <w:left w:val="nil"/>
              <w:bottom w:val="single" w:sz="4" w:space="0" w:color="auto"/>
              <w:right w:val="single" w:sz="4" w:space="0" w:color="auto"/>
            </w:tcBorders>
            <w:shd w:val="clear" w:color="auto" w:fill="auto"/>
            <w:noWrap/>
            <w:vAlign w:val="bottom"/>
            <w:hideMark/>
          </w:tcPr>
          <w:p w14:paraId="09C9153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34500</w:t>
            </w:r>
          </w:p>
        </w:tc>
        <w:tc>
          <w:tcPr>
            <w:tcW w:w="739" w:type="dxa"/>
            <w:tcBorders>
              <w:top w:val="nil"/>
              <w:left w:val="nil"/>
              <w:bottom w:val="single" w:sz="4" w:space="0" w:color="auto"/>
              <w:right w:val="single" w:sz="4" w:space="0" w:color="auto"/>
            </w:tcBorders>
            <w:shd w:val="clear" w:color="auto" w:fill="auto"/>
            <w:noWrap/>
            <w:vAlign w:val="bottom"/>
            <w:hideMark/>
          </w:tcPr>
          <w:p w14:paraId="02402AA4"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119</w:t>
            </w:r>
          </w:p>
        </w:tc>
        <w:tc>
          <w:tcPr>
            <w:tcW w:w="1329" w:type="dxa"/>
            <w:tcBorders>
              <w:top w:val="nil"/>
              <w:left w:val="nil"/>
              <w:bottom w:val="single" w:sz="4" w:space="0" w:color="auto"/>
              <w:right w:val="single" w:sz="8" w:space="0" w:color="auto"/>
            </w:tcBorders>
            <w:shd w:val="clear" w:color="auto" w:fill="auto"/>
            <w:vAlign w:val="center"/>
            <w:hideMark/>
          </w:tcPr>
          <w:p w14:paraId="72B07D83"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68081E9A"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68B5E2C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24</w:t>
            </w:r>
          </w:p>
        </w:tc>
        <w:tc>
          <w:tcPr>
            <w:tcW w:w="1329" w:type="dxa"/>
            <w:tcBorders>
              <w:top w:val="nil"/>
              <w:left w:val="nil"/>
              <w:bottom w:val="single" w:sz="4" w:space="0" w:color="auto"/>
              <w:right w:val="single" w:sz="4" w:space="0" w:color="auto"/>
            </w:tcBorders>
            <w:shd w:val="clear" w:color="auto" w:fill="auto"/>
            <w:noWrap/>
            <w:vAlign w:val="bottom"/>
            <w:hideMark/>
          </w:tcPr>
          <w:p w14:paraId="24C9F1E4"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9300</w:t>
            </w:r>
          </w:p>
        </w:tc>
        <w:tc>
          <w:tcPr>
            <w:tcW w:w="739" w:type="dxa"/>
            <w:tcBorders>
              <w:top w:val="nil"/>
              <w:left w:val="nil"/>
              <w:bottom w:val="single" w:sz="4" w:space="0" w:color="auto"/>
              <w:right w:val="single" w:sz="4" w:space="0" w:color="auto"/>
            </w:tcBorders>
            <w:shd w:val="clear" w:color="auto" w:fill="auto"/>
            <w:noWrap/>
            <w:vAlign w:val="center"/>
            <w:hideMark/>
          </w:tcPr>
          <w:p w14:paraId="72518C7F"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56</w:t>
            </w:r>
          </w:p>
        </w:tc>
        <w:tc>
          <w:tcPr>
            <w:tcW w:w="1329" w:type="dxa"/>
            <w:tcBorders>
              <w:top w:val="nil"/>
              <w:left w:val="nil"/>
              <w:bottom w:val="single" w:sz="4" w:space="0" w:color="auto"/>
              <w:right w:val="single" w:sz="4" w:space="0" w:color="auto"/>
            </w:tcBorders>
            <w:shd w:val="clear" w:color="auto" w:fill="auto"/>
            <w:noWrap/>
            <w:vAlign w:val="bottom"/>
            <w:hideMark/>
          </w:tcPr>
          <w:p w14:paraId="3D87C7B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22100</w:t>
            </w:r>
          </w:p>
        </w:tc>
        <w:tc>
          <w:tcPr>
            <w:tcW w:w="739" w:type="dxa"/>
            <w:tcBorders>
              <w:top w:val="nil"/>
              <w:left w:val="nil"/>
              <w:bottom w:val="single" w:sz="4" w:space="0" w:color="auto"/>
              <w:right w:val="single" w:sz="4" w:space="0" w:color="auto"/>
            </w:tcBorders>
            <w:shd w:val="clear" w:color="auto" w:fill="auto"/>
            <w:noWrap/>
            <w:vAlign w:val="bottom"/>
            <w:hideMark/>
          </w:tcPr>
          <w:p w14:paraId="1D05A0C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88</w:t>
            </w:r>
          </w:p>
        </w:tc>
        <w:tc>
          <w:tcPr>
            <w:tcW w:w="1329" w:type="dxa"/>
            <w:tcBorders>
              <w:top w:val="nil"/>
              <w:left w:val="nil"/>
              <w:bottom w:val="single" w:sz="4" w:space="0" w:color="auto"/>
              <w:right w:val="single" w:sz="4" w:space="0" w:color="auto"/>
            </w:tcBorders>
            <w:shd w:val="clear" w:color="auto" w:fill="auto"/>
            <w:noWrap/>
            <w:vAlign w:val="bottom"/>
            <w:hideMark/>
          </w:tcPr>
          <w:p w14:paraId="7BF4EDD1"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34900</w:t>
            </w:r>
          </w:p>
        </w:tc>
        <w:tc>
          <w:tcPr>
            <w:tcW w:w="739" w:type="dxa"/>
            <w:tcBorders>
              <w:top w:val="nil"/>
              <w:left w:val="nil"/>
              <w:bottom w:val="single" w:sz="4" w:space="0" w:color="auto"/>
              <w:right w:val="single" w:sz="4" w:space="0" w:color="auto"/>
            </w:tcBorders>
            <w:shd w:val="clear" w:color="auto" w:fill="auto"/>
            <w:noWrap/>
            <w:vAlign w:val="bottom"/>
            <w:hideMark/>
          </w:tcPr>
          <w:p w14:paraId="7E5465B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120</w:t>
            </w:r>
          </w:p>
        </w:tc>
        <w:tc>
          <w:tcPr>
            <w:tcW w:w="1329" w:type="dxa"/>
            <w:tcBorders>
              <w:top w:val="nil"/>
              <w:left w:val="nil"/>
              <w:bottom w:val="single" w:sz="4" w:space="0" w:color="auto"/>
              <w:right w:val="single" w:sz="8" w:space="0" w:color="auto"/>
            </w:tcBorders>
            <w:shd w:val="clear" w:color="auto" w:fill="auto"/>
            <w:vAlign w:val="center"/>
            <w:hideMark/>
          </w:tcPr>
          <w:p w14:paraId="06CFAC0D"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0E9FF8C3"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1A8AD66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25</w:t>
            </w:r>
          </w:p>
        </w:tc>
        <w:tc>
          <w:tcPr>
            <w:tcW w:w="1329" w:type="dxa"/>
            <w:tcBorders>
              <w:top w:val="nil"/>
              <w:left w:val="nil"/>
              <w:bottom w:val="single" w:sz="4" w:space="0" w:color="auto"/>
              <w:right w:val="single" w:sz="4" w:space="0" w:color="auto"/>
            </w:tcBorders>
            <w:shd w:val="clear" w:color="auto" w:fill="auto"/>
            <w:noWrap/>
            <w:vAlign w:val="bottom"/>
            <w:hideMark/>
          </w:tcPr>
          <w:p w14:paraId="5B50332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9700</w:t>
            </w:r>
          </w:p>
        </w:tc>
        <w:tc>
          <w:tcPr>
            <w:tcW w:w="739" w:type="dxa"/>
            <w:tcBorders>
              <w:top w:val="nil"/>
              <w:left w:val="nil"/>
              <w:bottom w:val="single" w:sz="4" w:space="0" w:color="auto"/>
              <w:right w:val="single" w:sz="4" w:space="0" w:color="auto"/>
            </w:tcBorders>
            <w:shd w:val="clear" w:color="auto" w:fill="auto"/>
            <w:noWrap/>
            <w:vAlign w:val="center"/>
            <w:hideMark/>
          </w:tcPr>
          <w:p w14:paraId="2EC7B4D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57</w:t>
            </w:r>
          </w:p>
        </w:tc>
        <w:tc>
          <w:tcPr>
            <w:tcW w:w="1329" w:type="dxa"/>
            <w:tcBorders>
              <w:top w:val="nil"/>
              <w:left w:val="nil"/>
              <w:bottom w:val="single" w:sz="4" w:space="0" w:color="auto"/>
              <w:right w:val="single" w:sz="4" w:space="0" w:color="auto"/>
            </w:tcBorders>
            <w:shd w:val="clear" w:color="auto" w:fill="auto"/>
            <w:noWrap/>
            <w:vAlign w:val="bottom"/>
            <w:hideMark/>
          </w:tcPr>
          <w:p w14:paraId="3E725DA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22500</w:t>
            </w:r>
          </w:p>
        </w:tc>
        <w:tc>
          <w:tcPr>
            <w:tcW w:w="739" w:type="dxa"/>
            <w:tcBorders>
              <w:top w:val="nil"/>
              <w:left w:val="nil"/>
              <w:bottom w:val="single" w:sz="4" w:space="0" w:color="auto"/>
              <w:right w:val="single" w:sz="4" w:space="0" w:color="auto"/>
            </w:tcBorders>
            <w:shd w:val="clear" w:color="auto" w:fill="auto"/>
            <w:noWrap/>
            <w:vAlign w:val="bottom"/>
            <w:hideMark/>
          </w:tcPr>
          <w:p w14:paraId="447E86B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89</w:t>
            </w:r>
          </w:p>
        </w:tc>
        <w:tc>
          <w:tcPr>
            <w:tcW w:w="1329" w:type="dxa"/>
            <w:tcBorders>
              <w:top w:val="nil"/>
              <w:left w:val="nil"/>
              <w:bottom w:val="single" w:sz="4" w:space="0" w:color="auto"/>
              <w:right w:val="single" w:sz="4" w:space="0" w:color="auto"/>
            </w:tcBorders>
            <w:shd w:val="clear" w:color="auto" w:fill="auto"/>
            <w:noWrap/>
            <w:vAlign w:val="bottom"/>
            <w:hideMark/>
          </w:tcPr>
          <w:p w14:paraId="4502C7D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35300</w:t>
            </w:r>
          </w:p>
        </w:tc>
        <w:tc>
          <w:tcPr>
            <w:tcW w:w="739" w:type="dxa"/>
            <w:tcBorders>
              <w:top w:val="nil"/>
              <w:left w:val="nil"/>
              <w:bottom w:val="single" w:sz="4" w:space="0" w:color="auto"/>
              <w:right w:val="single" w:sz="4" w:space="0" w:color="auto"/>
            </w:tcBorders>
            <w:shd w:val="clear" w:color="auto" w:fill="auto"/>
            <w:noWrap/>
            <w:vAlign w:val="bottom"/>
            <w:hideMark/>
          </w:tcPr>
          <w:p w14:paraId="16B84C4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121</w:t>
            </w:r>
          </w:p>
        </w:tc>
        <w:tc>
          <w:tcPr>
            <w:tcW w:w="1329" w:type="dxa"/>
            <w:tcBorders>
              <w:top w:val="nil"/>
              <w:left w:val="nil"/>
              <w:bottom w:val="single" w:sz="4" w:space="0" w:color="auto"/>
              <w:right w:val="single" w:sz="8" w:space="0" w:color="auto"/>
            </w:tcBorders>
            <w:shd w:val="clear" w:color="auto" w:fill="auto"/>
            <w:vAlign w:val="center"/>
            <w:hideMark/>
          </w:tcPr>
          <w:p w14:paraId="37533834"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4C95ED45"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2A170A7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26</w:t>
            </w:r>
          </w:p>
        </w:tc>
        <w:tc>
          <w:tcPr>
            <w:tcW w:w="1329" w:type="dxa"/>
            <w:tcBorders>
              <w:top w:val="nil"/>
              <w:left w:val="nil"/>
              <w:bottom w:val="single" w:sz="4" w:space="0" w:color="auto"/>
              <w:right w:val="single" w:sz="4" w:space="0" w:color="auto"/>
            </w:tcBorders>
            <w:shd w:val="clear" w:color="auto" w:fill="auto"/>
            <w:noWrap/>
            <w:vAlign w:val="bottom"/>
            <w:hideMark/>
          </w:tcPr>
          <w:p w14:paraId="50F91E7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10100</w:t>
            </w:r>
          </w:p>
        </w:tc>
        <w:tc>
          <w:tcPr>
            <w:tcW w:w="739" w:type="dxa"/>
            <w:tcBorders>
              <w:top w:val="nil"/>
              <w:left w:val="nil"/>
              <w:bottom w:val="single" w:sz="4" w:space="0" w:color="auto"/>
              <w:right w:val="single" w:sz="4" w:space="0" w:color="auto"/>
            </w:tcBorders>
            <w:shd w:val="clear" w:color="auto" w:fill="auto"/>
            <w:noWrap/>
            <w:vAlign w:val="center"/>
            <w:hideMark/>
          </w:tcPr>
          <w:p w14:paraId="0013A88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58</w:t>
            </w:r>
          </w:p>
        </w:tc>
        <w:tc>
          <w:tcPr>
            <w:tcW w:w="1329" w:type="dxa"/>
            <w:tcBorders>
              <w:top w:val="nil"/>
              <w:left w:val="nil"/>
              <w:bottom w:val="single" w:sz="4" w:space="0" w:color="auto"/>
              <w:right w:val="single" w:sz="4" w:space="0" w:color="auto"/>
            </w:tcBorders>
            <w:shd w:val="clear" w:color="auto" w:fill="auto"/>
            <w:noWrap/>
            <w:vAlign w:val="bottom"/>
            <w:hideMark/>
          </w:tcPr>
          <w:p w14:paraId="0D3449D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22900</w:t>
            </w:r>
          </w:p>
        </w:tc>
        <w:tc>
          <w:tcPr>
            <w:tcW w:w="739" w:type="dxa"/>
            <w:tcBorders>
              <w:top w:val="nil"/>
              <w:left w:val="nil"/>
              <w:bottom w:val="single" w:sz="4" w:space="0" w:color="auto"/>
              <w:right w:val="single" w:sz="4" w:space="0" w:color="auto"/>
            </w:tcBorders>
            <w:shd w:val="clear" w:color="auto" w:fill="auto"/>
            <w:noWrap/>
            <w:vAlign w:val="bottom"/>
            <w:hideMark/>
          </w:tcPr>
          <w:p w14:paraId="2A006816"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90</w:t>
            </w:r>
          </w:p>
        </w:tc>
        <w:tc>
          <w:tcPr>
            <w:tcW w:w="1329" w:type="dxa"/>
            <w:tcBorders>
              <w:top w:val="nil"/>
              <w:left w:val="nil"/>
              <w:bottom w:val="single" w:sz="4" w:space="0" w:color="auto"/>
              <w:right w:val="single" w:sz="4" w:space="0" w:color="auto"/>
            </w:tcBorders>
            <w:shd w:val="clear" w:color="auto" w:fill="auto"/>
            <w:noWrap/>
            <w:vAlign w:val="bottom"/>
            <w:hideMark/>
          </w:tcPr>
          <w:p w14:paraId="6CA5EBF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35700</w:t>
            </w:r>
          </w:p>
        </w:tc>
        <w:tc>
          <w:tcPr>
            <w:tcW w:w="739" w:type="dxa"/>
            <w:tcBorders>
              <w:top w:val="nil"/>
              <w:left w:val="nil"/>
              <w:bottom w:val="single" w:sz="4" w:space="0" w:color="auto"/>
              <w:right w:val="single" w:sz="4" w:space="0" w:color="auto"/>
            </w:tcBorders>
            <w:shd w:val="clear" w:color="auto" w:fill="auto"/>
            <w:noWrap/>
            <w:vAlign w:val="bottom"/>
            <w:hideMark/>
          </w:tcPr>
          <w:p w14:paraId="345AB13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122</w:t>
            </w:r>
          </w:p>
        </w:tc>
        <w:tc>
          <w:tcPr>
            <w:tcW w:w="1329" w:type="dxa"/>
            <w:tcBorders>
              <w:top w:val="nil"/>
              <w:left w:val="nil"/>
              <w:bottom w:val="single" w:sz="4" w:space="0" w:color="auto"/>
              <w:right w:val="single" w:sz="8" w:space="0" w:color="auto"/>
            </w:tcBorders>
            <w:shd w:val="clear" w:color="auto" w:fill="auto"/>
            <w:vAlign w:val="center"/>
            <w:hideMark/>
          </w:tcPr>
          <w:p w14:paraId="164E155A"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3BA06DB8"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2EBC462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27</w:t>
            </w:r>
          </w:p>
        </w:tc>
        <w:tc>
          <w:tcPr>
            <w:tcW w:w="1329" w:type="dxa"/>
            <w:tcBorders>
              <w:top w:val="nil"/>
              <w:left w:val="nil"/>
              <w:bottom w:val="single" w:sz="4" w:space="0" w:color="auto"/>
              <w:right w:val="single" w:sz="4" w:space="0" w:color="auto"/>
            </w:tcBorders>
            <w:shd w:val="clear" w:color="auto" w:fill="auto"/>
            <w:noWrap/>
            <w:vAlign w:val="bottom"/>
            <w:hideMark/>
          </w:tcPr>
          <w:p w14:paraId="07DC616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10500</w:t>
            </w:r>
          </w:p>
        </w:tc>
        <w:tc>
          <w:tcPr>
            <w:tcW w:w="739" w:type="dxa"/>
            <w:tcBorders>
              <w:top w:val="nil"/>
              <w:left w:val="nil"/>
              <w:bottom w:val="single" w:sz="4" w:space="0" w:color="auto"/>
              <w:right w:val="single" w:sz="4" w:space="0" w:color="auto"/>
            </w:tcBorders>
            <w:shd w:val="clear" w:color="auto" w:fill="auto"/>
            <w:noWrap/>
            <w:vAlign w:val="center"/>
            <w:hideMark/>
          </w:tcPr>
          <w:p w14:paraId="2C922D8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59</w:t>
            </w:r>
          </w:p>
        </w:tc>
        <w:tc>
          <w:tcPr>
            <w:tcW w:w="1329" w:type="dxa"/>
            <w:tcBorders>
              <w:top w:val="nil"/>
              <w:left w:val="nil"/>
              <w:bottom w:val="single" w:sz="4" w:space="0" w:color="auto"/>
              <w:right w:val="single" w:sz="4" w:space="0" w:color="auto"/>
            </w:tcBorders>
            <w:shd w:val="clear" w:color="auto" w:fill="auto"/>
            <w:noWrap/>
            <w:vAlign w:val="bottom"/>
            <w:hideMark/>
          </w:tcPr>
          <w:p w14:paraId="7EE842F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23300</w:t>
            </w:r>
          </w:p>
        </w:tc>
        <w:tc>
          <w:tcPr>
            <w:tcW w:w="739" w:type="dxa"/>
            <w:tcBorders>
              <w:top w:val="nil"/>
              <w:left w:val="nil"/>
              <w:bottom w:val="single" w:sz="4" w:space="0" w:color="auto"/>
              <w:right w:val="single" w:sz="4" w:space="0" w:color="auto"/>
            </w:tcBorders>
            <w:shd w:val="clear" w:color="auto" w:fill="auto"/>
            <w:noWrap/>
            <w:vAlign w:val="bottom"/>
            <w:hideMark/>
          </w:tcPr>
          <w:p w14:paraId="2F5EECA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91</w:t>
            </w:r>
          </w:p>
        </w:tc>
        <w:tc>
          <w:tcPr>
            <w:tcW w:w="1329" w:type="dxa"/>
            <w:tcBorders>
              <w:top w:val="nil"/>
              <w:left w:val="nil"/>
              <w:bottom w:val="single" w:sz="4" w:space="0" w:color="auto"/>
              <w:right w:val="single" w:sz="4" w:space="0" w:color="auto"/>
            </w:tcBorders>
            <w:shd w:val="clear" w:color="auto" w:fill="auto"/>
            <w:noWrap/>
            <w:vAlign w:val="bottom"/>
            <w:hideMark/>
          </w:tcPr>
          <w:p w14:paraId="67A9AF8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36100</w:t>
            </w:r>
          </w:p>
        </w:tc>
        <w:tc>
          <w:tcPr>
            <w:tcW w:w="739" w:type="dxa"/>
            <w:tcBorders>
              <w:top w:val="nil"/>
              <w:left w:val="nil"/>
              <w:bottom w:val="single" w:sz="4" w:space="0" w:color="auto"/>
              <w:right w:val="single" w:sz="4" w:space="0" w:color="auto"/>
            </w:tcBorders>
            <w:shd w:val="clear" w:color="auto" w:fill="auto"/>
            <w:noWrap/>
            <w:vAlign w:val="bottom"/>
            <w:hideMark/>
          </w:tcPr>
          <w:p w14:paraId="73C0180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123</w:t>
            </w:r>
          </w:p>
        </w:tc>
        <w:tc>
          <w:tcPr>
            <w:tcW w:w="1329" w:type="dxa"/>
            <w:tcBorders>
              <w:top w:val="nil"/>
              <w:left w:val="nil"/>
              <w:bottom w:val="single" w:sz="4" w:space="0" w:color="auto"/>
              <w:right w:val="single" w:sz="8" w:space="0" w:color="auto"/>
            </w:tcBorders>
            <w:shd w:val="clear" w:color="auto" w:fill="auto"/>
            <w:vAlign w:val="center"/>
            <w:hideMark/>
          </w:tcPr>
          <w:p w14:paraId="2B67792D"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6FCC4D83"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149DF26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lastRenderedPageBreak/>
              <w:t>28</w:t>
            </w:r>
          </w:p>
        </w:tc>
        <w:tc>
          <w:tcPr>
            <w:tcW w:w="1329" w:type="dxa"/>
            <w:tcBorders>
              <w:top w:val="nil"/>
              <w:left w:val="nil"/>
              <w:bottom w:val="single" w:sz="4" w:space="0" w:color="auto"/>
              <w:right w:val="single" w:sz="4" w:space="0" w:color="auto"/>
            </w:tcBorders>
            <w:shd w:val="clear" w:color="auto" w:fill="auto"/>
            <w:noWrap/>
            <w:vAlign w:val="bottom"/>
            <w:hideMark/>
          </w:tcPr>
          <w:p w14:paraId="0A6A1D7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10900</w:t>
            </w:r>
          </w:p>
        </w:tc>
        <w:tc>
          <w:tcPr>
            <w:tcW w:w="739" w:type="dxa"/>
            <w:tcBorders>
              <w:top w:val="nil"/>
              <w:left w:val="nil"/>
              <w:bottom w:val="single" w:sz="4" w:space="0" w:color="auto"/>
              <w:right w:val="single" w:sz="4" w:space="0" w:color="auto"/>
            </w:tcBorders>
            <w:shd w:val="clear" w:color="auto" w:fill="auto"/>
            <w:noWrap/>
            <w:vAlign w:val="center"/>
            <w:hideMark/>
          </w:tcPr>
          <w:p w14:paraId="23F9E861"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60</w:t>
            </w:r>
          </w:p>
        </w:tc>
        <w:tc>
          <w:tcPr>
            <w:tcW w:w="1329" w:type="dxa"/>
            <w:tcBorders>
              <w:top w:val="nil"/>
              <w:left w:val="nil"/>
              <w:bottom w:val="single" w:sz="4" w:space="0" w:color="auto"/>
              <w:right w:val="single" w:sz="4" w:space="0" w:color="auto"/>
            </w:tcBorders>
            <w:shd w:val="clear" w:color="auto" w:fill="auto"/>
            <w:noWrap/>
            <w:vAlign w:val="bottom"/>
            <w:hideMark/>
          </w:tcPr>
          <w:p w14:paraId="45548BE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23700</w:t>
            </w:r>
          </w:p>
        </w:tc>
        <w:tc>
          <w:tcPr>
            <w:tcW w:w="739" w:type="dxa"/>
            <w:tcBorders>
              <w:top w:val="nil"/>
              <w:left w:val="nil"/>
              <w:bottom w:val="single" w:sz="4" w:space="0" w:color="auto"/>
              <w:right w:val="single" w:sz="4" w:space="0" w:color="auto"/>
            </w:tcBorders>
            <w:shd w:val="clear" w:color="auto" w:fill="auto"/>
            <w:noWrap/>
            <w:vAlign w:val="bottom"/>
            <w:hideMark/>
          </w:tcPr>
          <w:p w14:paraId="578825B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92</w:t>
            </w:r>
          </w:p>
        </w:tc>
        <w:tc>
          <w:tcPr>
            <w:tcW w:w="1329" w:type="dxa"/>
            <w:tcBorders>
              <w:top w:val="nil"/>
              <w:left w:val="nil"/>
              <w:bottom w:val="single" w:sz="4" w:space="0" w:color="auto"/>
              <w:right w:val="single" w:sz="4" w:space="0" w:color="auto"/>
            </w:tcBorders>
            <w:shd w:val="clear" w:color="auto" w:fill="auto"/>
            <w:noWrap/>
            <w:vAlign w:val="bottom"/>
            <w:hideMark/>
          </w:tcPr>
          <w:p w14:paraId="1D1C9110"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36500</w:t>
            </w:r>
          </w:p>
        </w:tc>
        <w:tc>
          <w:tcPr>
            <w:tcW w:w="739" w:type="dxa"/>
            <w:tcBorders>
              <w:top w:val="nil"/>
              <w:left w:val="nil"/>
              <w:bottom w:val="single" w:sz="4" w:space="0" w:color="auto"/>
              <w:right w:val="single" w:sz="4" w:space="0" w:color="auto"/>
            </w:tcBorders>
            <w:shd w:val="clear" w:color="auto" w:fill="auto"/>
            <w:noWrap/>
            <w:vAlign w:val="bottom"/>
            <w:hideMark/>
          </w:tcPr>
          <w:p w14:paraId="6BF5DEA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124</w:t>
            </w:r>
          </w:p>
        </w:tc>
        <w:tc>
          <w:tcPr>
            <w:tcW w:w="1329" w:type="dxa"/>
            <w:tcBorders>
              <w:top w:val="nil"/>
              <w:left w:val="nil"/>
              <w:bottom w:val="single" w:sz="4" w:space="0" w:color="auto"/>
              <w:right w:val="single" w:sz="8" w:space="0" w:color="auto"/>
            </w:tcBorders>
            <w:shd w:val="clear" w:color="auto" w:fill="auto"/>
            <w:vAlign w:val="center"/>
            <w:hideMark/>
          </w:tcPr>
          <w:p w14:paraId="526B0C86"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760BFC8D"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0BC69CD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29</w:t>
            </w:r>
          </w:p>
        </w:tc>
        <w:tc>
          <w:tcPr>
            <w:tcW w:w="1329" w:type="dxa"/>
            <w:tcBorders>
              <w:top w:val="nil"/>
              <w:left w:val="nil"/>
              <w:bottom w:val="single" w:sz="4" w:space="0" w:color="auto"/>
              <w:right w:val="single" w:sz="4" w:space="0" w:color="auto"/>
            </w:tcBorders>
            <w:shd w:val="clear" w:color="auto" w:fill="auto"/>
            <w:noWrap/>
            <w:vAlign w:val="bottom"/>
            <w:hideMark/>
          </w:tcPr>
          <w:p w14:paraId="5D7ACC1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11300</w:t>
            </w:r>
          </w:p>
        </w:tc>
        <w:tc>
          <w:tcPr>
            <w:tcW w:w="739" w:type="dxa"/>
            <w:tcBorders>
              <w:top w:val="nil"/>
              <w:left w:val="nil"/>
              <w:bottom w:val="single" w:sz="4" w:space="0" w:color="auto"/>
              <w:right w:val="single" w:sz="4" w:space="0" w:color="auto"/>
            </w:tcBorders>
            <w:shd w:val="clear" w:color="auto" w:fill="auto"/>
            <w:noWrap/>
            <w:vAlign w:val="center"/>
            <w:hideMark/>
          </w:tcPr>
          <w:p w14:paraId="4AF3E00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61</w:t>
            </w:r>
          </w:p>
        </w:tc>
        <w:tc>
          <w:tcPr>
            <w:tcW w:w="1329" w:type="dxa"/>
            <w:tcBorders>
              <w:top w:val="nil"/>
              <w:left w:val="nil"/>
              <w:bottom w:val="single" w:sz="4" w:space="0" w:color="auto"/>
              <w:right w:val="single" w:sz="4" w:space="0" w:color="auto"/>
            </w:tcBorders>
            <w:shd w:val="clear" w:color="auto" w:fill="auto"/>
            <w:noWrap/>
            <w:vAlign w:val="bottom"/>
            <w:hideMark/>
          </w:tcPr>
          <w:p w14:paraId="08E722D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24100</w:t>
            </w:r>
          </w:p>
        </w:tc>
        <w:tc>
          <w:tcPr>
            <w:tcW w:w="739" w:type="dxa"/>
            <w:tcBorders>
              <w:top w:val="nil"/>
              <w:left w:val="nil"/>
              <w:bottom w:val="single" w:sz="4" w:space="0" w:color="auto"/>
              <w:right w:val="single" w:sz="4" w:space="0" w:color="auto"/>
            </w:tcBorders>
            <w:shd w:val="clear" w:color="auto" w:fill="auto"/>
            <w:noWrap/>
            <w:vAlign w:val="bottom"/>
            <w:hideMark/>
          </w:tcPr>
          <w:p w14:paraId="262FB2C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93</w:t>
            </w:r>
          </w:p>
        </w:tc>
        <w:tc>
          <w:tcPr>
            <w:tcW w:w="1329" w:type="dxa"/>
            <w:tcBorders>
              <w:top w:val="nil"/>
              <w:left w:val="nil"/>
              <w:bottom w:val="single" w:sz="4" w:space="0" w:color="auto"/>
              <w:right w:val="single" w:sz="4" w:space="0" w:color="auto"/>
            </w:tcBorders>
            <w:shd w:val="clear" w:color="auto" w:fill="auto"/>
            <w:noWrap/>
            <w:vAlign w:val="bottom"/>
            <w:hideMark/>
          </w:tcPr>
          <w:p w14:paraId="0EEB1427"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36900</w:t>
            </w:r>
          </w:p>
        </w:tc>
        <w:tc>
          <w:tcPr>
            <w:tcW w:w="739" w:type="dxa"/>
            <w:tcBorders>
              <w:top w:val="nil"/>
              <w:left w:val="nil"/>
              <w:bottom w:val="single" w:sz="4" w:space="0" w:color="auto"/>
              <w:right w:val="single" w:sz="4" w:space="0" w:color="auto"/>
            </w:tcBorders>
            <w:shd w:val="clear" w:color="auto" w:fill="auto"/>
            <w:noWrap/>
            <w:vAlign w:val="bottom"/>
            <w:hideMark/>
          </w:tcPr>
          <w:p w14:paraId="6B70E00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125</w:t>
            </w:r>
          </w:p>
        </w:tc>
        <w:tc>
          <w:tcPr>
            <w:tcW w:w="1329" w:type="dxa"/>
            <w:tcBorders>
              <w:top w:val="nil"/>
              <w:left w:val="nil"/>
              <w:bottom w:val="single" w:sz="4" w:space="0" w:color="auto"/>
              <w:right w:val="single" w:sz="8" w:space="0" w:color="auto"/>
            </w:tcBorders>
            <w:shd w:val="clear" w:color="auto" w:fill="auto"/>
            <w:vAlign w:val="center"/>
            <w:hideMark/>
          </w:tcPr>
          <w:p w14:paraId="6450424A"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756E2B93" w14:textId="77777777" w:rsidTr="005F57ED">
        <w:trPr>
          <w:trHeight w:val="265"/>
        </w:trPr>
        <w:tc>
          <w:tcPr>
            <w:tcW w:w="739" w:type="dxa"/>
            <w:tcBorders>
              <w:top w:val="nil"/>
              <w:left w:val="single" w:sz="8" w:space="0" w:color="auto"/>
              <w:bottom w:val="single" w:sz="4" w:space="0" w:color="auto"/>
              <w:right w:val="single" w:sz="4" w:space="0" w:color="auto"/>
            </w:tcBorders>
            <w:shd w:val="clear" w:color="auto" w:fill="auto"/>
            <w:noWrap/>
            <w:vAlign w:val="center"/>
            <w:hideMark/>
          </w:tcPr>
          <w:p w14:paraId="44E4AE1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30</w:t>
            </w:r>
          </w:p>
        </w:tc>
        <w:tc>
          <w:tcPr>
            <w:tcW w:w="1329" w:type="dxa"/>
            <w:tcBorders>
              <w:top w:val="nil"/>
              <w:left w:val="nil"/>
              <w:bottom w:val="single" w:sz="4" w:space="0" w:color="auto"/>
              <w:right w:val="single" w:sz="4" w:space="0" w:color="auto"/>
            </w:tcBorders>
            <w:shd w:val="clear" w:color="auto" w:fill="auto"/>
            <w:noWrap/>
            <w:vAlign w:val="bottom"/>
            <w:hideMark/>
          </w:tcPr>
          <w:p w14:paraId="13F7DF1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11700</w:t>
            </w:r>
          </w:p>
        </w:tc>
        <w:tc>
          <w:tcPr>
            <w:tcW w:w="739" w:type="dxa"/>
            <w:tcBorders>
              <w:top w:val="nil"/>
              <w:left w:val="nil"/>
              <w:bottom w:val="single" w:sz="4" w:space="0" w:color="auto"/>
              <w:right w:val="single" w:sz="4" w:space="0" w:color="auto"/>
            </w:tcBorders>
            <w:shd w:val="clear" w:color="auto" w:fill="auto"/>
            <w:noWrap/>
            <w:vAlign w:val="center"/>
            <w:hideMark/>
          </w:tcPr>
          <w:p w14:paraId="2736E979"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62</w:t>
            </w:r>
          </w:p>
        </w:tc>
        <w:tc>
          <w:tcPr>
            <w:tcW w:w="1329" w:type="dxa"/>
            <w:tcBorders>
              <w:top w:val="nil"/>
              <w:left w:val="nil"/>
              <w:bottom w:val="single" w:sz="4" w:space="0" w:color="auto"/>
              <w:right w:val="single" w:sz="4" w:space="0" w:color="auto"/>
            </w:tcBorders>
            <w:shd w:val="clear" w:color="auto" w:fill="auto"/>
            <w:noWrap/>
            <w:vAlign w:val="bottom"/>
            <w:hideMark/>
          </w:tcPr>
          <w:p w14:paraId="00A7988F"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24500</w:t>
            </w:r>
          </w:p>
        </w:tc>
        <w:tc>
          <w:tcPr>
            <w:tcW w:w="739" w:type="dxa"/>
            <w:tcBorders>
              <w:top w:val="nil"/>
              <w:left w:val="nil"/>
              <w:bottom w:val="single" w:sz="4" w:space="0" w:color="auto"/>
              <w:right w:val="single" w:sz="4" w:space="0" w:color="auto"/>
            </w:tcBorders>
            <w:shd w:val="clear" w:color="auto" w:fill="auto"/>
            <w:noWrap/>
            <w:vAlign w:val="bottom"/>
            <w:hideMark/>
          </w:tcPr>
          <w:p w14:paraId="3894520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94</w:t>
            </w:r>
          </w:p>
        </w:tc>
        <w:tc>
          <w:tcPr>
            <w:tcW w:w="1329" w:type="dxa"/>
            <w:tcBorders>
              <w:top w:val="nil"/>
              <w:left w:val="nil"/>
              <w:bottom w:val="single" w:sz="4" w:space="0" w:color="auto"/>
              <w:right w:val="single" w:sz="4" w:space="0" w:color="auto"/>
            </w:tcBorders>
            <w:shd w:val="clear" w:color="auto" w:fill="auto"/>
            <w:noWrap/>
            <w:vAlign w:val="bottom"/>
            <w:hideMark/>
          </w:tcPr>
          <w:p w14:paraId="2D1AE913"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37300</w:t>
            </w:r>
          </w:p>
        </w:tc>
        <w:tc>
          <w:tcPr>
            <w:tcW w:w="739" w:type="dxa"/>
            <w:tcBorders>
              <w:top w:val="nil"/>
              <w:left w:val="nil"/>
              <w:bottom w:val="single" w:sz="4" w:space="0" w:color="auto"/>
              <w:right w:val="single" w:sz="4" w:space="0" w:color="auto"/>
            </w:tcBorders>
            <w:shd w:val="clear" w:color="auto" w:fill="auto"/>
            <w:noWrap/>
            <w:vAlign w:val="bottom"/>
            <w:hideMark/>
          </w:tcPr>
          <w:p w14:paraId="7C6C54BE"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126</w:t>
            </w:r>
          </w:p>
        </w:tc>
        <w:tc>
          <w:tcPr>
            <w:tcW w:w="1329" w:type="dxa"/>
            <w:tcBorders>
              <w:top w:val="nil"/>
              <w:left w:val="nil"/>
              <w:bottom w:val="single" w:sz="4" w:space="0" w:color="auto"/>
              <w:right w:val="single" w:sz="8" w:space="0" w:color="auto"/>
            </w:tcBorders>
            <w:shd w:val="clear" w:color="auto" w:fill="auto"/>
            <w:vAlign w:val="center"/>
            <w:hideMark/>
          </w:tcPr>
          <w:p w14:paraId="62FBEADE"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r w:rsidR="005F57ED" w:rsidRPr="00A946DA" w14:paraId="517EF9EB" w14:textId="77777777" w:rsidTr="005F57ED">
        <w:trPr>
          <w:trHeight w:val="279"/>
        </w:trPr>
        <w:tc>
          <w:tcPr>
            <w:tcW w:w="739" w:type="dxa"/>
            <w:tcBorders>
              <w:top w:val="nil"/>
              <w:left w:val="single" w:sz="8" w:space="0" w:color="auto"/>
              <w:bottom w:val="single" w:sz="8" w:space="0" w:color="auto"/>
              <w:right w:val="single" w:sz="4" w:space="0" w:color="auto"/>
            </w:tcBorders>
            <w:shd w:val="clear" w:color="auto" w:fill="auto"/>
            <w:noWrap/>
            <w:vAlign w:val="center"/>
            <w:hideMark/>
          </w:tcPr>
          <w:p w14:paraId="1E8A99F2"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31</w:t>
            </w:r>
          </w:p>
        </w:tc>
        <w:tc>
          <w:tcPr>
            <w:tcW w:w="1329" w:type="dxa"/>
            <w:tcBorders>
              <w:top w:val="nil"/>
              <w:left w:val="nil"/>
              <w:bottom w:val="single" w:sz="8" w:space="0" w:color="auto"/>
              <w:right w:val="single" w:sz="4" w:space="0" w:color="auto"/>
            </w:tcBorders>
            <w:shd w:val="clear" w:color="auto" w:fill="auto"/>
            <w:noWrap/>
            <w:vAlign w:val="bottom"/>
            <w:hideMark/>
          </w:tcPr>
          <w:p w14:paraId="46408FFC"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12100</w:t>
            </w:r>
          </w:p>
        </w:tc>
        <w:tc>
          <w:tcPr>
            <w:tcW w:w="739" w:type="dxa"/>
            <w:tcBorders>
              <w:top w:val="nil"/>
              <w:left w:val="nil"/>
              <w:bottom w:val="single" w:sz="8" w:space="0" w:color="auto"/>
              <w:right w:val="single" w:sz="4" w:space="0" w:color="auto"/>
            </w:tcBorders>
            <w:shd w:val="clear" w:color="auto" w:fill="auto"/>
            <w:noWrap/>
            <w:vAlign w:val="center"/>
            <w:hideMark/>
          </w:tcPr>
          <w:p w14:paraId="35E0A3CB"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63</w:t>
            </w:r>
          </w:p>
        </w:tc>
        <w:tc>
          <w:tcPr>
            <w:tcW w:w="1329" w:type="dxa"/>
            <w:tcBorders>
              <w:top w:val="nil"/>
              <w:left w:val="nil"/>
              <w:bottom w:val="single" w:sz="8" w:space="0" w:color="auto"/>
              <w:right w:val="single" w:sz="4" w:space="0" w:color="auto"/>
            </w:tcBorders>
            <w:shd w:val="clear" w:color="auto" w:fill="auto"/>
            <w:noWrap/>
            <w:vAlign w:val="bottom"/>
            <w:hideMark/>
          </w:tcPr>
          <w:p w14:paraId="05F87625"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24900</w:t>
            </w:r>
          </w:p>
        </w:tc>
        <w:tc>
          <w:tcPr>
            <w:tcW w:w="739" w:type="dxa"/>
            <w:tcBorders>
              <w:top w:val="nil"/>
              <w:left w:val="nil"/>
              <w:bottom w:val="single" w:sz="8" w:space="0" w:color="auto"/>
              <w:right w:val="single" w:sz="4" w:space="0" w:color="auto"/>
            </w:tcBorders>
            <w:shd w:val="clear" w:color="auto" w:fill="auto"/>
            <w:noWrap/>
            <w:vAlign w:val="bottom"/>
            <w:hideMark/>
          </w:tcPr>
          <w:p w14:paraId="27D9234A"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95</w:t>
            </w:r>
          </w:p>
        </w:tc>
        <w:tc>
          <w:tcPr>
            <w:tcW w:w="1329" w:type="dxa"/>
            <w:tcBorders>
              <w:top w:val="nil"/>
              <w:left w:val="nil"/>
              <w:bottom w:val="single" w:sz="8" w:space="0" w:color="auto"/>
              <w:right w:val="single" w:sz="4" w:space="0" w:color="auto"/>
            </w:tcBorders>
            <w:shd w:val="clear" w:color="auto" w:fill="auto"/>
            <w:noWrap/>
            <w:vAlign w:val="bottom"/>
            <w:hideMark/>
          </w:tcPr>
          <w:p w14:paraId="502B8A0D"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37700</w:t>
            </w:r>
          </w:p>
        </w:tc>
        <w:tc>
          <w:tcPr>
            <w:tcW w:w="739" w:type="dxa"/>
            <w:tcBorders>
              <w:top w:val="nil"/>
              <w:left w:val="nil"/>
              <w:bottom w:val="single" w:sz="8" w:space="0" w:color="auto"/>
              <w:right w:val="single" w:sz="4" w:space="0" w:color="auto"/>
            </w:tcBorders>
            <w:shd w:val="clear" w:color="auto" w:fill="auto"/>
            <w:noWrap/>
            <w:vAlign w:val="bottom"/>
            <w:hideMark/>
          </w:tcPr>
          <w:p w14:paraId="315BE918" w14:textId="77777777" w:rsidR="00A946DA" w:rsidRPr="00A946DA" w:rsidRDefault="00A946DA" w:rsidP="00A946DA">
            <w:pPr>
              <w:jc w:val="center"/>
              <w:rPr>
                <w:rFonts w:ascii="等线" w:eastAsia="等线" w:hAnsi="等线" w:cs="宋体" w:hint="eastAsia"/>
                <w:color w:val="000000"/>
                <w:sz w:val="22"/>
                <w:szCs w:val="22"/>
                <w:lang w:eastAsia="zh-CN"/>
              </w:rPr>
            </w:pPr>
            <w:r w:rsidRPr="00A946DA">
              <w:rPr>
                <w:rFonts w:ascii="等线" w:eastAsia="等线" w:hAnsi="等线" w:cs="宋体" w:hint="eastAsia"/>
                <w:color w:val="000000"/>
                <w:sz w:val="22"/>
                <w:szCs w:val="22"/>
                <w:lang w:eastAsia="zh-CN"/>
              </w:rPr>
              <w:t>127</w:t>
            </w:r>
          </w:p>
        </w:tc>
        <w:tc>
          <w:tcPr>
            <w:tcW w:w="1329" w:type="dxa"/>
            <w:tcBorders>
              <w:top w:val="nil"/>
              <w:left w:val="nil"/>
              <w:bottom w:val="single" w:sz="8" w:space="0" w:color="auto"/>
              <w:right w:val="single" w:sz="8" w:space="0" w:color="auto"/>
            </w:tcBorders>
            <w:shd w:val="clear" w:color="auto" w:fill="auto"/>
            <w:vAlign w:val="center"/>
            <w:hideMark/>
          </w:tcPr>
          <w:p w14:paraId="2E0A056D" w14:textId="77777777" w:rsidR="00A946DA" w:rsidRPr="00A946DA" w:rsidRDefault="00A946DA" w:rsidP="00A946DA">
            <w:pPr>
              <w:jc w:val="center"/>
              <w:rPr>
                <w:rFonts w:ascii="Arial" w:eastAsia="等线" w:hAnsi="Arial" w:cs="Arial"/>
                <w:color w:val="000000"/>
                <w:sz w:val="18"/>
                <w:szCs w:val="18"/>
                <w:lang w:eastAsia="zh-CN"/>
              </w:rPr>
            </w:pPr>
            <w:r w:rsidRPr="00A946DA">
              <w:rPr>
                <w:rFonts w:ascii="Arial" w:eastAsia="等线" w:hAnsi="Arial" w:cs="Arial"/>
                <w:color w:val="000000"/>
                <w:sz w:val="18"/>
                <w:szCs w:val="18"/>
                <w:lang w:eastAsia="zh-CN"/>
              </w:rPr>
              <w:t>Reserved</w:t>
            </w:r>
          </w:p>
        </w:tc>
      </w:tr>
    </w:tbl>
    <w:p w14:paraId="422D5100" w14:textId="1B1DF7B8" w:rsidR="00695106" w:rsidRPr="005F57ED" w:rsidRDefault="00170AB8" w:rsidP="005F57ED">
      <w:pPr>
        <w:pStyle w:val="a7"/>
        <w:rPr>
          <w:rFonts w:eastAsiaTheme="minorEastAsia"/>
          <w:b/>
          <w:bCs/>
          <w:iCs/>
        </w:rPr>
      </w:pPr>
      <w:bookmarkStart w:id="7" w:name="_Ref188345236"/>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sidR="00AA69AB">
        <w:rPr>
          <w:b/>
          <w:bCs/>
          <w:noProof/>
        </w:rPr>
        <w:t>2</w:t>
      </w:r>
      <w:r w:rsidRPr="005F57ED">
        <w:rPr>
          <w:b/>
          <w:bCs/>
        </w:rPr>
        <w:fldChar w:fldCharType="end"/>
      </w:r>
      <w:r>
        <w:rPr>
          <w:rFonts w:hint="eastAsia"/>
          <w:lang w:eastAsia="zh-CN"/>
        </w:rPr>
        <w:t xml:space="preserve">: </w:t>
      </w:r>
      <w:r w:rsidRPr="005F57ED">
        <w:rPr>
          <w:rFonts w:eastAsiaTheme="minorEastAsia"/>
          <w:b/>
          <w:lang w:eastAsia="zh-CN"/>
        </w:rPr>
        <w:t xml:space="preserve">RAN2 adapts the new </w:t>
      </w:r>
      <w:r w:rsidR="004A10AD">
        <w:rPr>
          <w:rFonts w:eastAsiaTheme="minorEastAsia" w:hint="eastAsia"/>
          <w:b/>
          <w:lang w:eastAsia="zh-CN"/>
        </w:rPr>
        <w:t>v</w:t>
      </w:r>
      <w:r w:rsidR="000A2408" w:rsidRPr="005F57ED">
        <w:rPr>
          <w:rFonts w:eastAsiaTheme="minorEastAsia"/>
          <w:b/>
          <w:lang w:eastAsia="zh-CN"/>
        </w:rPr>
        <w:t>alues for Bit Rate field table</w:t>
      </w:r>
      <w:r w:rsidR="00674640">
        <w:rPr>
          <w:rFonts w:eastAsiaTheme="minorEastAsia" w:hint="eastAsia"/>
          <w:b/>
          <w:lang w:eastAsia="zh-CN"/>
        </w:rPr>
        <w:t xml:space="preserve"> </w:t>
      </w:r>
      <w:r w:rsidR="0047256A">
        <w:rPr>
          <w:rFonts w:eastAsiaTheme="minorEastAsia" w:hint="eastAsia"/>
          <w:b/>
          <w:lang w:eastAsia="zh-CN"/>
        </w:rPr>
        <w:t>(7 bits)</w:t>
      </w:r>
      <w:r w:rsidR="000A2408" w:rsidRPr="005F57ED">
        <w:rPr>
          <w:rFonts w:eastAsiaTheme="minorEastAsia"/>
          <w:b/>
          <w:lang w:eastAsia="zh-CN"/>
        </w:rPr>
        <w:t xml:space="preserve"> for R</w:t>
      </w:r>
      <w:r w:rsidR="0036292C">
        <w:rPr>
          <w:rFonts w:eastAsiaTheme="minorEastAsia" w:hint="eastAsia"/>
          <w:b/>
          <w:lang w:eastAsia="zh-CN"/>
        </w:rPr>
        <w:t>el-</w:t>
      </w:r>
      <w:r w:rsidR="000A2408" w:rsidRPr="005F57ED">
        <w:rPr>
          <w:rFonts w:eastAsiaTheme="minorEastAsia"/>
          <w:b/>
          <w:lang w:eastAsia="zh-CN"/>
        </w:rPr>
        <w:t>19 XR rate control.</w:t>
      </w:r>
      <w:bookmarkEnd w:id="7"/>
    </w:p>
    <w:p w14:paraId="5B2ADAA1" w14:textId="3DAFD35A" w:rsidR="000B5005" w:rsidRPr="00E01BA5" w:rsidRDefault="000B5005" w:rsidP="00E01BA5">
      <w:pPr>
        <w:pStyle w:val="20"/>
        <w:keepNext w:val="0"/>
        <w:widowControl w:val="0"/>
        <w:ind w:left="568" w:hangingChars="283" w:hanging="568"/>
        <w:rPr>
          <w:rFonts w:eastAsiaTheme="minorEastAsia"/>
          <w:lang w:val="en-GB"/>
        </w:rPr>
      </w:pPr>
      <w:r>
        <w:rPr>
          <w:rFonts w:eastAsiaTheme="minorEastAsia" w:hint="eastAsia"/>
          <w:lang w:val="en-GB"/>
        </w:rPr>
        <w:t xml:space="preserve">Assistance information </w:t>
      </w:r>
      <w:r w:rsidR="00E01BA5">
        <w:rPr>
          <w:rFonts w:eastAsiaTheme="minorEastAsia" w:hint="eastAsia"/>
          <w:lang w:val="en-GB"/>
        </w:rPr>
        <w:t xml:space="preserve">to </w:t>
      </w:r>
      <w:r>
        <w:rPr>
          <w:rFonts w:eastAsiaTheme="minorEastAsia" w:hint="eastAsia"/>
          <w:lang w:val="en-GB"/>
        </w:rPr>
        <w:t>gNB</w:t>
      </w:r>
    </w:p>
    <w:p w14:paraId="0CC39753" w14:textId="2DAA9496" w:rsidR="000B5005" w:rsidRDefault="000B5005" w:rsidP="00E85F79">
      <w:pPr>
        <w:spacing w:afterLines="50" w:after="120"/>
        <w:jc w:val="both"/>
        <w:rPr>
          <w:rFonts w:eastAsiaTheme="minorEastAsia"/>
          <w:lang w:eastAsia="zh-CN"/>
        </w:rPr>
      </w:pPr>
      <w:r>
        <w:rPr>
          <w:rFonts w:eastAsiaTheme="minorEastAsia" w:hint="eastAsia"/>
          <w:lang w:val="en-GB" w:eastAsia="zh-CN"/>
        </w:rPr>
        <w:t>For XR service, not all the related QoS flow</w:t>
      </w:r>
      <w:r w:rsidR="00BB3F33">
        <w:rPr>
          <w:rFonts w:eastAsiaTheme="minorEastAsia" w:hint="eastAsia"/>
          <w:lang w:val="en-GB" w:eastAsia="zh-CN"/>
        </w:rPr>
        <w:t>s</w:t>
      </w:r>
      <w:r>
        <w:rPr>
          <w:rFonts w:eastAsiaTheme="minorEastAsia" w:hint="eastAsia"/>
          <w:lang w:val="en-GB" w:eastAsia="zh-CN"/>
        </w:rPr>
        <w:t xml:space="preserve"> have different codec choice. For example, speech and video flows </w:t>
      </w:r>
      <w:r>
        <w:t xml:space="preserve">may have adaptive codec </w:t>
      </w:r>
      <w:r w:rsidR="00BB3F33">
        <w:rPr>
          <w:rFonts w:eastAsiaTheme="minorEastAsia" w:hint="eastAsia"/>
          <w:lang w:eastAsia="zh-CN"/>
        </w:rPr>
        <w:t>options.</w:t>
      </w:r>
      <w:r>
        <w:rPr>
          <w:rFonts w:eastAsiaTheme="minorEastAsia" w:hint="eastAsia"/>
          <w:lang w:eastAsia="zh-CN"/>
        </w:rPr>
        <w:t xml:space="preserve"> But for </w:t>
      </w:r>
      <w:r w:rsidR="00F339DC">
        <w:rPr>
          <w:rFonts w:eastAsiaTheme="minorEastAsia" w:hint="eastAsia"/>
          <w:lang w:eastAsia="zh-CN"/>
        </w:rPr>
        <w:t>rendering</w:t>
      </w:r>
      <w:r>
        <w:rPr>
          <w:rFonts w:eastAsiaTheme="minorEastAsia" w:hint="eastAsia"/>
          <w:lang w:eastAsia="zh-CN"/>
        </w:rPr>
        <w:t xml:space="preserve">, there may </w:t>
      </w:r>
      <w:r w:rsidR="003C2301">
        <w:rPr>
          <w:rFonts w:eastAsiaTheme="minorEastAsia" w:hint="eastAsia"/>
          <w:lang w:eastAsia="zh-CN"/>
        </w:rPr>
        <w:t xml:space="preserve">be </w:t>
      </w:r>
      <w:r>
        <w:rPr>
          <w:rFonts w:eastAsiaTheme="minorEastAsia" w:hint="eastAsia"/>
          <w:lang w:eastAsia="zh-CN"/>
        </w:rPr>
        <w:t>not.</w:t>
      </w:r>
      <w:r w:rsidR="00FC5D6B">
        <w:rPr>
          <w:rFonts w:eastAsiaTheme="minorEastAsia" w:hint="eastAsia"/>
          <w:lang w:eastAsia="zh-CN"/>
        </w:rPr>
        <w:t xml:space="preserve"> </w:t>
      </w:r>
      <w:r w:rsidR="00432C8C">
        <w:rPr>
          <w:rFonts w:eastAsiaTheme="minorEastAsia" w:hint="eastAsia"/>
          <w:lang w:eastAsia="zh-CN"/>
        </w:rPr>
        <w:t>B</w:t>
      </w:r>
      <w:r w:rsidR="00FC5D6B">
        <w:rPr>
          <w:rFonts w:eastAsiaTheme="minorEastAsia" w:hint="eastAsia"/>
          <w:lang w:eastAsia="zh-CN"/>
        </w:rPr>
        <w:t xml:space="preserve">efore the gNB sends new introduced recommended bit rate MAC CE to UE, </w:t>
      </w:r>
      <w:r w:rsidR="007E50C0">
        <w:rPr>
          <w:rFonts w:eastAsiaTheme="minorEastAsia" w:hint="eastAsia"/>
          <w:lang w:eastAsia="zh-CN"/>
        </w:rPr>
        <w:t>the gNB</w:t>
      </w:r>
      <w:r w:rsidR="00FC5D6B">
        <w:rPr>
          <w:rFonts w:eastAsiaTheme="minorEastAsia" w:hint="eastAsia"/>
          <w:lang w:eastAsia="zh-CN"/>
        </w:rPr>
        <w:t xml:space="preserve"> should know which QoS flow/DRB are subject to adaptive bit rate.</w:t>
      </w:r>
      <w:r w:rsidR="00D60069">
        <w:rPr>
          <w:rFonts w:eastAsiaTheme="minorEastAsia" w:hint="eastAsia"/>
          <w:lang w:eastAsia="zh-CN"/>
        </w:rPr>
        <w:t xml:space="preserve"> In RAN2#128 meeting, the below agreement and FFS are </w:t>
      </w:r>
      <w:r w:rsidR="0078065E">
        <w:rPr>
          <w:rFonts w:eastAsiaTheme="minorEastAsia" w:hint="eastAsia"/>
          <w:lang w:eastAsia="zh-CN"/>
        </w:rPr>
        <w:t>recorded</w:t>
      </w:r>
      <w:r w:rsidR="00D60069">
        <w:rPr>
          <w:rFonts w:eastAsiaTheme="minorEastAsia" w:hint="eastAsia"/>
          <w:lang w:eastAsia="zh-CN"/>
        </w:rPr>
        <w:t>:</w:t>
      </w:r>
    </w:p>
    <w:p w14:paraId="7FE66E6F" w14:textId="1DA1D5DB" w:rsidR="00D60069" w:rsidRPr="000B5005" w:rsidRDefault="00D60069" w:rsidP="000B5005">
      <w:pPr>
        <w:rPr>
          <w:rFonts w:eastAsiaTheme="minorEastAsia"/>
          <w:lang w:val="en-GB" w:eastAsia="zh-CN"/>
        </w:rPr>
      </w:pPr>
      <w:r w:rsidRPr="00D60069">
        <w:rPr>
          <w:rFonts w:eastAsiaTheme="minorEastAsia"/>
          <w:noProof/>
          <w:lang w:val="en-GB" w:eastAsia="zh-CN"/>
        </w:rPr>
        <mc:AlternateContent>
          <mc:Choice Requires="wps">
            <w:drawing>
              <wp:inline distT="0" distB="0" distL="0" distR="0" wp14:anchorId="6495F8D7" wp14:editId="7E373CD5">
                <wp:extent cx="5222240" cy="729276"/>
                <wp:effectExtent l="0" t="0" r="16510" b="27305"/>
                <wp:docPr id="168786928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2240" cy="729276"/>
                        </a:xfrm>
                        <a:prstGeom prst="rect">
                          <a:avLst/>
                        </a:prstGeom>
                        <a:solidFill>
                          <a:srgbClr val="FFFFFF"/>
                        </a:solidFill>
                        <a:ln w="9525">
                          <a:solidFill>
                            <a:srgbClr val="000000"/>
                          </a:solidFill>
                          <a:miter lim="800000"/>
                          <a:headEnd/>
                          <a:tailEnd/>
                        </a:ln>
                      </wps:spPr>
                      <wps:txbx>
                        <w:txbxContent>
                          <w:p w14:paraId="1C39C1C8" w14:textId="21E4B36E" w:rsidR="00D60069" w:rsidRPr="000E4DFE" w:rsidRDefault="00D60069" w:rsidP="00D60069">
                            <w:pPr>
                              <w:tabs>
                                <w:tab w:val="left" w:pos="1622"/>
                              </w:tabs>
                              <w:rPr>
                                <w:rFonts w:ascii="Arial" w:eastAsia="MS Mincho" w:hAnsi="Arial"/>
                                <w:b/>
                                <w:lang w:val="en-GB" w:eastAsia="en-GB"/>
                              </w:rPr>
                            </w:pPr>
                            <w:r w:rsidRPr="000E4DFE">
                              <w:rPr>
                                <w:rFonts w:ascii="Arial" w:eastAsia="MS Mincho" w:hAnsi="Arial"/>
                                <w:b/>
                                <w:lang w:val="en-GB" w:eastAsia="en-GB"/>
                              </w:rPr>
                              <w:t>Agreements on XR rate control</w:t>
                            </w:r>
                          </w:p>
                          <w:p w14:paraId="796A5EBE" w14:textId="1613979D" w:rsidR="00D60069" w:rsidRPr="00D60069" w:rsidRDefault="00D60069" w:rsidP="00D60069">
                            <w:pPr>
                              <w:pStyle w:val="Doc-text2"/>
                              <w:numPr>
                                <w:ilvl w:val="0"/>
                                <w:numId w:val="24"/>
                              </w:numPr>
                            </w:pPr>
                            <w:r>
                              <w:t>gNB can be indicated which QoS flows can be throttled. FFS whether this is indicated from UE/CN</w:t>
                            </w:r>
                          </w:p>
                        </w:txbxContent>
                      </wps:txbx>
                      <wps:bodyPr rot="0" vert="horz" wrap="square" lIns="91440" tIns="45720" rIns="91440" bIns="45720" anchor="t" anchorCtr="0">
                        <a:spAutoFit/>
                      </wps:bodyPr>
                    </wps:wsp>
                  </a:graphicData>
                </a:graphic>
              </wp:inline>
            </w:drawing>
          </mc:Choice>
          <mc:Fallback>
            <w:pict>
              <v:shape w14:anchorId="6495F8D7" id="_x0000_s1028" type="#_x0000_t202" style="width:411.2pt;height:5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">
                <v:textbox style="mso-fit-shape-to-text:t">
                  <w:txbxContent>
                    <w:p w14:paraId="1C39C1C8" w14:textId="21E4B36E" w:rsidR="00D60069" w:rsidRPr="000E4DFE" w:rsidRDefault="00D60069" w:rsidP="00D60069">
                      <w:pPr>
                        <w:tabs>
                          <w:tab w:val="left" w:pos="1622"/>
                        </w:tabs>
                        <w:rPr>
                          <w:rFonts w:ascii="Arial" w:eastAsia="MS Mincho" w:hAnsi="Arial"/>
                          <w:b/>
                          <w:lang w:val="en-GB" w:eastAsia="en-GB"/>
                        </w:rPr>
                      </w:pPr>
                      <w:r w:rsidRPr="000E4DFE">
                        <w:rPr>
                          <w:rFonts w:ascii="Arial" w:eastAsia="MS Mincho" w:hAnsi="Arial"/>
                          <w:b/>
                          <w:lang w:val="en-GB" w:eastAsia="en-GB"/>
                        </w:rPr>
                        <w:t>Agreements on XR rate control</w:t>
                      </w:r>
                    </w:p>
                    <w:p w14:paraId="796A5EBE" w14:textId="1613979D" w:rsidR="00D60069" w:rsidRPr="00D60069" w:rsidRDefault="00D60069" w:rsidP="00D60069">
                      <w:pPr>
                        <w:pStyle w:val="Doc-text2"/>
                        <w:numPr>
                          <w:ilvl w:val="0"/>
                          <w:numId w:val="24"/>
                        </w:numPr>
                      </w:pPr>
                      <w:r>
                        <w:t>gNB can be indicated which QoS flows can be throttled. FFS whether this is indicated from UE/CN</w:t>
                      </w:r>
                    </w:p>
                  </w:txbxContent>
                </v:textbox>
                <w10:anchorlock/>
              </v:shape>
            </w:pict>
          </mc:Fallback>
        </mc:AlternateContent>
      </w:r>
    </w:p>
    <w:p w14:paraId="20DF88DB" w14:textId="295BCF61" w:rsidR="000B5005" w:rsidRDefault="00D60069" w:rsidP="00E85F79">
      <w:pPr>
        <w:spacing w:beforeLines="50" w:before="120"/>
        <w:jc w:val="both"/>
        <w:rPr>
          <w:rFonts w:eastAsiaTheme="minorEastAsia"/>
          <w:lang w:val="en-GB" w:eastAsia="zh-CN"/>
        </w:rPr>
      </w:pPr>
      <w:r>
        <w:rPr>
          <w:rFonts w:eastAsiaTheme="minorEastAsia" w:hint="eastAsia"/>
          <w:lang w:val="en-GB" w:eastAsia="zh-CN"/>
        </w:rPr>
        <w:t>For the FFS part,</w:t>
      </w:r>
      <w:r w:rsidR="008E3DC5">
        <w:rPr>
          <w:rFonts w:eastAsiaTheme="minorEastAsia" w:hint="eastAsia"/>
          <w:lang w:val="en-GB" w:eastAsia="zh-CN"/>
        </w:rPr>
        <w:t xml:space="preserve"> there are two solutions raised</w:t>
      </w:r>
      <w:r w:rsidR="00FD7796">
        <w:rPr>
          <w:rFonts w:eastAsiaTheme="minorEastAsia" w:hint="eastAsia"/>
          <w:lang w:val="en-GB" w:eastAsia="zh-CN"/>
        </w:rPr>
        <w:t>:</w:t>
      </w:r>
      <w:r w:rsidR="008E3DC5">
        <w:rPr>
          <w:rFonts w:eastAsiaTheme="minorEastAsia" w:hint="eastAsia"/>
          <w:lang w:val="en-GB" w:eastAsia="zh-CN"/>
        </w:rPr>
        <w:t xml:space="preserve"> one is UE based and the other is CN based. </w:t>
      </w:r>
      <w:r w:rsidR="00A16BF7">
        <w:rPr>
          <w:rFonts w:eastAsiaTheme="minorEastAsia" w:hint="eastAsia"/>
          <w:lang w:val="en-GB" w:eastAsia="zh-CN"/>
        </w:rPr>
        <w:t xml:space="preserve">The relationship between the two is complementary. </w:t>
      </w:r>
      <w:r w:rsidR="00234AEA">
        <w:rPr>
          <w:rFonts w:eastAsiaTheme="minorEastAsia" w:hint="eastAsia"/>
          <w:lang w:val="en-GB" w:eastAsia="zh-CN"/>
        </w:rPr>
        <w:t>I</w:t>
      </w:r>
      <w:r w:rsidR="00B52A96">
        <w:rPr>
          <w:rFonts w:eastAsiaTheme="minorEastAsia" w:hint="eastAsia"/>
          <w:lang w:val="en-GB" w:eastAsia="zh-CN"/>
        </w:rPr>
        <w:t>n case the CN doesn</w:t>
      </w:r>
      <w:r w:rsidR="00B52A96">
        <w:rPr>
          <w:rFonts w:eastAsiaTheme="minorEastAsia"/>
          <w:lang w:val="en-GB" w:eastAsia="zh-CN"/>
        </w:rPr>
        <w:t>’</w:t>
      </w:r>
      <w:r w:rsidR="00B52A96">
        <w:rPr>
          <w:rFonts w:eastAsiaTheme="minorEastAsia" w:hint="eastAsia"/>
          <w:lang w:val="en-GB" w:eastAsia="zh-CN"/>
        </w:rPr>
        <w:t xml:space="preserve">t </w:t>
      </w:r>
      <w:r w:rsidR="00B45BAF">
        <w:rPr>
          <w:rFonts w:eastAsiaTheme="minorEastAsia" w:hint="eastAsia"/>
          <w:lang w:val="en-GB" w:eastAsia="zh-CN"/>
        </w:rPr>
        <w:t xml:space="preserve">support </w:t>
      </w:r>
      <w:r w:rsidR="00B52A96">
        <w:rPr>
          <w:rFonts w:eastAsiaTheme="minorEastAsia" w:hint="eastAsia"/>
          <w:lang w:val="en-GB" w:eastAsia="zh-CN"/>
        </w:rPr>
        <w:t xml:space="preserve">the bit rate </w:t>
      </w:r>
      <w:r w:rsidR="00B45BAF">
        <w:rPr>
          <w:rFonts w:eastAsiaTheme="minorEastAsia" w:hint="eastAsia"/>
          <w:lang w:val="en-GB" w:eastAsia="zh-CN"/>
        </w:rPr>
        <w:t>exposure</w:t>
      </w:r>
      <w:r w:rsidR="00D90221">
        <w:rPr>
          <w:rFonts w:eastAsiaTheme="minorEastAsia" w:hint="eastAsia"/>
          <w:lang w:val="en-GB" w:eastAsia="zh-CN"/>
        </w:rPr>
        <w:t xml:space="preserve">, the UE based </w:t>
      </w:r>
      <w:r w:rsidR="00A61330">
        <w:rPr>
          <w:rFonts w:eastAsiaTheme="minorEastAsia"/>
          <w:lang w:val="en-GB" w:eastAsia="zh-CN"/>
        </w:rPr>
        <w:t>approach</w:t>
      </w:r>
      <w:r w:rsidR="00D90221">
        <w:rPr>
          <w:rFonts w:eastAsiaTheme="minorEastAsia" w:hint="eastAsia"/>
          <w:lang w:val="en-GB" w:eastAsia="zh-CN"/>
        </w:rPr>
        <w:t xml:space="preserve"> can be used. From this point of view, </w:t>
      </w:r>
      <w:r w:rsidR="00D90221">
        <w:rPr>
          <w:rFonts w:eastAsiaTheme="minorEastAsia"/>
          <w:lang w:val="en-GB" w:eastAsia="zh-CN"/>
        </w:rPr>
        <w:t>T</w:t>
      </w:r>
      <w:r w:rsidR="00D90221">
        <w:rPr>
          <w:rFonts w:eastAsiaTheme="minorEastAsia" w:hint="eastAsia"/>
          <w:lang w:val="en-GB" w:eastAsia="zh-CN"/>
        </w:rPr>
        <w:t xml:space="preserve">he UE based </w:t>
      </w:r>
      <w:r w:rsidR="00A61330">
        <w:rPr>
          <w:rFonts w:eastAsiaTheme="minorEastAsia"/>
          <w:lang w:val="en-GB" w:eastAsia="zh-CN"/>
        </w:rPr>
        <w:t>approach</w:t>
      </w:r>
      <w:r w:rsidR="00D90221">
        <w:rPr>
          <w:rFonts w:eastAsiaTheme="minorEastAsia" w:hint="eastAsia"/>
          <w:lang w:val="en-GB" w:eastAsia="zh-CN"/>
        </w:rPr>
        <w:t xml:space="preserve"> that UE using one </w:t>
      </w:r>
      <w:r w:rsidR="007D71EE">
        <w:rPr>
          <w:rFonts w:eastAsiaTheme="minorEastAsia" w:hint="eastAsia"/>
          <w:lang w:val="en-GB" w:eastAsia="zh-CN"/>
        </w:rPr>
        <w:t xml:space="preserve">UL </w:t>
      </w:r>
      <w:r w:rsidR="00D90221">
        <w:rPr>
          <w:rFonts w:eastAsiaTheme="minorEastAsia" w:hint="eastAsia"/>
          <w:lang w:val="en-GB" w:eastAsia="zh-CN"/>
        </w:rPr>
        <w:t>RRC signalling to let the gNB get the information of which QoS flow(s) can be throttled should be supported in Rel-19 XR.</w:t>
      </w:r>
    </w:p>
    <w:p w14:paraId="75227240" w14:textId="3235A5B1" w:rsidR="00990156" w:rsidRPr="005F57ED" w:rsidRDefault="007C5FC4" w:rsidP="005F57ED">
      <w:pPr>
        <w:pStyle w:val="a7"/>
        <w:jc w:val="both"/>
        <w:rPr>
          <w:rFonts w:eastAsiaTheme="minorEastAsia"/>
          <w:b/>
          <w:bCs/>
          <w:lang w:eastAsia="zh-CN"/>
        </w:rPr>
      </w:pPr>
      <w:bookmarkStart w:id="8" w:name="_Ref188345238"/>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sidR="00AA69AB">
        <w:rPr>
          <w:b/>
          <w:bCs/>
          <w:noProof/>
        </w:rPr>
        <w:t>3</w:t>
      </w:r>
      <w:r w:rsidRPr="005F57ED">
        <w:rPr>
          <w:b/>
          <w:bCs/>
        </w:rPr>
        <w:fldChar w:fldCharType="end"/>
      </w:r>
      <w:r w:rsidRPr="005F57ED">
        <w:rPr>
          <w:b/>
          <w:bCs/>
          <w:lang w:eastAsia="zh-CN"/>
        </w:rPr>
        <w:t xml:space="preserve">: </w:t>
      </w:r>
      <w:r w:rsidR="007D71EE">
        <w:rPr>
          <w:rFonts w:hint="eastAsia"/>
          <w:b/>
          <w:bCs/>
          <w:lang w:eastAsia="zh-CN"/>
        </w:rPr>
        <w:t>RAN2 agrees that UE using one UL RRC si</w:t>
      </w:r>
      <w:r w:rsidR="00352784">
        <w:rPr>
          <w:rFonts w:hint="eastAsia"/>
          <w:b/>
          <w:bCs/>
          <w:lang w:eastAsia="zh-CN"/>
        </w:rPr>
        <w:t>gnalling to let the gNB get the information of which QoS flow(s) can be throttled in Rel-19 XR.</w:t>
      </w:r>
      <w:bookmarkEnd w:id="8"/>
    </w:p>
    <w:p w14:paraId="1A0FEE36" w14:textId="1C827C2E" w:rsidR="00267BA6" w:rsidRPr="007E564B" w:rsidRDefault="00C15CCF" w:rsidP="00267BA6">
      <w:pPr>
        <w:pStyle w:val="20"/>
        <w:keepNext w:val="0"/>
        <w:widowControl w:val="0"/>
        <w:ind w:left="568" w:hangingChars="283" w:hanging="568"/>
        <w:rPr>
          <w:rFonts w:eastAsiaTheme="minorEastAsia"/>
        </w:rPr>
      </w:pPr>
      <w:r>
        <w:rPr>
          <w:rFonts w:eastAsiaTheme="minorEastAsia" w:hint="eastAsia"/>
        </w:rPr>
        <w:t>FFS on UL MAC CE rate query</w:t>
      </w:r>
    </w:p>
    <w:p w14:paraId="39CE1CA5" w14:textId="4B66175E" w:rsidR="00302FBE" w:rsidRPr="00E85F79" w:rsidRDefault="002B14F6" w:rsidP="00267BA6">
      <w:pPr>
        <w:pStyle w:val="a0"/>
        <w:rPr>
          <w:rFonts w:eastAsia="宋体" w:cs="Arial"/>
          <w:szCs w:val="20"/>
          <w:lang w:eastAsia="zh-CN"/>
        </w:rPr>
      </w:pPr>
      <w:r>
        <w:rPr>
          <w:rFonts w:eastAsiaTheme="minorEastAsia" w:hint="eastAsia"/>
          <w:lang w:val="en-GB" w:eastAsia="zh-CN"/>
        </w:rPr>
        <w:t>In the last RAN2#128 meeting,</w:t>
      </w:r>
      <w:r w:rsidR="006E6600">
        <w:rPr>
          <w:rFonts w:eastAsiaTheme="minorEastAsia" w:hint="eastAsia"/>
          <w:lang w:val="en-GB" w:eastAsia="zh-CN"/>
        </w:rPr>
        <w:t xml:space="preserve"> some companies raised to introduce </w:t>
      </w:r>
      <w:r w:rsidR="00A17B88">
        <w:rPr>
          <w:rFonts w:eastAsiaTheme="minorEastAsia" w:hint="eastAsia"/>
          <w:lang w:val="en-GB" w:eastAsia="zh-CN"/>
        </w:rPr>
        <w:t>the</w:t>
      </w:r>
      <w:r w:rsidR="006E6600">
        <w:rPr>
          <w:rFonts w:eastAsiaTheme="minorEastAsia" w:hint="eastAsia"/>
          <w:lang w:val="en-GB" w:eastAsia="zh-CN"/>
        </w:rPr>
        <w:t xml:space="preserve"> UL MAC CE rate query mechanism</w:t>
      </w:r>
      <w:r w:rsidR="00767140">
        <w:rPr>
          <w:rFonts w:eastAsiaTheme="minorEastAsia" w:hint="eastAsia"/>
          <w:lang w:val="en-GB" w:eastAsia="zh-CN"/>
        </w:rPr>
        <w:t xml:space="preserve"> </w:t>
      </w:r>
      <w:r w:rsidR="008F0CBD">
        <w:rPr>
          <w:rFonts w:eastAsiaTheme="minorEastAsia" w:hint="eastAsia"/>
          <w:lang w:val="en-GB" w:eastAsia="zh-CN"/>
        </w:rPr>
        <w:t>for different scenario</w:t>
      </w:r>
      <w:r w:rsidR="00767140">
        <w:rPr>
          <w:rFonts w:eastAsiaTheme="minorEastAsia" w:hint="eastAsia"/>
          <w:lang w:val="en-GB" w:eastAsia="zh-CN"/>
        </w:rPr>
        <w:t xml:space="preserve">. </w:t>
      </w:r>
      <w:r w:rsidR="00416501">
        <w:rPr>
          <w:rFonts w:eastAsiaTheme="minorEastAsia" w:hint="eastAsia"/>
          <w:lang w:val="en-GB" w:eastAsia="zh-CN"/>
        </w:rPr>
        <w:t xml:space="preserve">One company raised that before the UL congestion happens, </w:t>
      </w:r>
      <w:r w:rsidR="00416501">
        <w:rPr>
          <w:rFonts w:eastAsia="宋体" w:cs="Arial"/>
          <w:szCs w:val="20"/>
        </w:rPr>
        <w:t xml:space="preserve">UE can initiate a bit rate query. </w:t>
      </w:r>
      <w:r w:rsidR="00416501">
        <w:rPr>
          <w:rFonts w:eastAsia="宋体" w:cs="Arial" w:hint="eastAsia"/>
          <w:szCs w:val="20"/>
          <w:lang w:eastAsia="zh-CN"/>
        </w:rPr>
        <w:t xml:space="preserve">Then the gNB can </w:t>
      </w:r>
      <w:r w:rsidR="00416501" w:rsidRPr="00C51599">
        <w:rPr>
          <w:rFonts w:eastAsia="宋体" w:cs="Arial"/>
          <w:szCs w:val="20"/>
        </w:rPr>
        <w:t>identif</w:t>
      </w:r>
      <w:r w:rsidR="00416501">
        <w:rPr>
          <w:rFonts w:eastAsia="宋体" w:cs="Arial" w:hint="eastAsia"/>
          <w:szCs w:val="20"/>
          <w:lang w:eastAsia="zh-CN"/>
        </w:rPr>
        <w:t>y</w:t>
      </w:r>
      <w:r w:rsidR="00416501" w:rsidRPr="00C51599">
        <w:rPr>
          <w:rFonts w:eastAsia="宋体" w:cs="Arial"/>
          <w:szCs w:val="20"/>
        </w:rPr>
        <w:t xml:space="preserve"> which flows </w:t>
      </w:r>
      <w:r w:rsidR="00416501">
        <w:rPr>
          <w:rFonts w:eastAsia="宋体" w:cs="Arial"/>
          <w:szCs w:val="20"/>
        </w:rPr>
        <w:t xml:space="preserve">or logical channels </w:t>
      </w:r>
      <w:r w:rsidR="00416501" w:rsidRPr="00C51599">
        <w:rPr>
          <w:rFonts w:eastAsia="宋体" w:cs="Arial"/>
          <w:szCs w:val="20"/>
        </w:rPr>
        <w:t>are subject to rate adaptation</w:t>
      </w:r>
      <w:r w:rsidR="00416501">
        <w:rPr>
          <w:rFonts w:eastAsia="宋体" w:cs="Arial"/>
          <w:szCs w:val="20"/>
        </w:rPr>
        <w:t>.</w:t>
      </w:r>
      <w:r w:rsidR="00452A0E">
        <w:rPr>
          <w:rFonts w:eastAsia="宋体" w:cs="Arial" w:hint="eastAsia"/>
          <w:szCs w:val="20"/>
          <w:lang w:eastAsia="zh-CN"/>
        </w:rPr>
        <w:t xml:space="preserve"> This part is related to what </w:t>
      </w:r>
      <w:r w:rsidR="00B64CF7">
        <w:rPr>
          <w:rFonts w:eastAsia="宋体" w:cs="Arial" w:hint="eastAsia"/>
          <w:szCs w:val="20"/>
          <w:lang w:eastAsia="zh-CN"/>
        </w:rPr>
        <w:t>had</w:t>
      </w:r>
      <w:r w:rsidR="00452A0E">
        <w:rPr>
          <w:rFonts w:eastAsia="宋体" w:cs="Arial" w:hint="eastAsia"/>
          <w:szCs w:val="20"/>
          <w:lang w:eastAsia="zh-CN"/>
        </w:rPr>
        <w:t xml:space="preserve"> discussed in </w:t>
      </w:r>
      <w:r w:rsidR="00452A0E">
        <w:rPr>
          <w:rFonts w:eastAsia="宋体" w:cs="Arial"/>
          <w:szCs w:val="20"/>
          <w:lang w:eastAsia="zh-CN"/>
        </w:rPr>
        <w:t>“</w:t>
      </w:r>
      <w:r w:rsidR="00452A0E">
        <w:rPr>
          <w:rFonts w:eastAsiaTheme="minorEastAsia" w:hint="eastAsia"/>
          <w:lang w:val="en-GB"/>
        </w:rPr>
        <w:t xml:space="preserve">Assistance information </w:t>
      </w:r>
      <w:r w:rsidR="007B397B">
        <w:rPr>
          <w:rFonts w:eastAsiaTheme="minorEastAsia" w:hint="eastAsia"/>
          <w:lang w:val="en-GB" w:eastAsia="zh-CN"/>
        </w:rPr>
        <w:t>to</w:t>
      </w:r>
      <w:r w:rsidR="007B397B">
        <w:rPr>
          <w:rFonts w:eastAsiaTheme="minorEastAsia" w:hint="eastAsia"/>
          <w:lang w:val="en-GB"/>
        </w:rPr>
        <w:t xml:space="preserve"> </w:t>
      </w:r>
      <w:r w:rsidR="00452A0E">
        <w:rPr>
          <w:rFonts w:eastAsiaTheme="minorEastAsia" w:hint="eastAsia"/>
          <w:lang w:val="en-GB"/>
        </w:rPr>
        <w:t>gNB</w:t>
      </w:r>
      <w:r w:rsidR="00452A0E">
        <w:rPr>
          <w:rFonts w:eastAsia="宋体" w:cs="Arial"/>
          <w:szCs w:val="20"/>
          <w:lang w:eastAsia="zh-CN"/>
        </w:rPr>
        <w:t>”</w:t>
      </w:r>
      <w:r w:rsidR="00452A0E">
        <w:rPr>
          <w:rFonts w:eastAsia="宋体" w:cs="Arial" w:hint="eastAsia"/>
          <w:szCs w:val="20"/>
          <w:lang w:eastAsia="zh-CN"/>
        </w:rPr>
        <w:t xml:space="preserve"> </w:t>
      </w:r>
      <w:r w:rsidR="0040532B">
        <w:rPr>
          <w:rFonts w:eastAsia="宋体" w:cs="Arial" w:hint="eastAsia"/>
          <w:szCs w:val="20"/>
          <w:lang w:eastAsia="zh-CN"/>
        </w:rPr>
        <w:t>sector</w:t>
      </w:r>
      <w:r w:rsidR="00452A0E">
        <w:rPr>
          <w:rFonts w:eastAsia="宋体" w:cs="Arial" w:hint="eastAsia"/>
          <w:szCs w:val="20"/>
          <w:lang w:eastAsia="zh-CN"/>
        </w:rPr>
        <w:t>,</w:t>
      </w:r>
      <w:r w:rsidR="0042180D">
        <w:rPr>
          <w:rFonts w:eastAsia="宋体" w:cs="Arial" w:hint="eastAsia"/>
          <w:szCs w:val="20"/>
          <w:lang w:eastAsia="zh-CN"/>
        </w:rPr>
        <w:t xml:space="preserve"> in case that </w:t>
      </w:r>
      <w:r w:rsidR="000D509F">
        <w:rPr>
          <w:rFonts w:eastAsia="宋体" w:cs="Arial" w:hint="eastAsia"/>
          <w:szCs w:val="20"/>
          <w:lang w:eastAsia="zh-CN"/>
        </w:rPr>
        <w:t xml:space="preserve">one UL RRC signalling can be used instead, that is to say, </w:t>
      </w:r>
      <w:r w:rsidR="0042180D">
        <w:rPr>
          <w:rFonts w:eastAsia="宋体" w:cs="Arial" w:hint="eastAsia"/>
          <w:szCs w:val="20"/>
          <w:lang w:eastAsia="zh-CN"/>
        </w:rPr>
        <w:t xml:space="preserve">there is no need to </w:t>
      </w:r>
      <w:r w:rsidR="00000325">
        <w:rPr>
          <w:rFonts w:eastAsia="宋体" w:cs="Arial" w:hint="eastAsia"/>
          <w:szCs w:val="20"/>
          <w:lang w:eastAsia="zh-CN"/>
        </w:rPr>
        <w:t>introduce the query MAC CE</w:t>
      </w:r>
      <w:r w:rsidR="0042180D">
        <w:rPr>
          <w:rFonts w:eastAsia="宋体" w:cs="Arial" w:hint="eastAsia"/>
          <w:szCs w:val="20"/>
          <w:lang w:eastAsia="zh-CN"/>
        </w:rPr>
        <w:t xml:space="preserve"> in the uplink Uu interface before the UL congestion happens</w:t>
      </w:r>
      <w:r w:rsidR="00B40D31">
        <w:rPr>
          <w:rFonts w:eastAsia="宋体" w:cs="Arial" w:hint="eastAsia"/>
          <w:szCs w:val="20"/>
          <w:lang w:eastAsia="zh-CN"/>
        </w:rPr>
        <w:t xml:space="preserve">. </w:t>
      </w:r>
      <w:r w:rsidR="0042180D">
        <w:rPr>
          <w:rFonts w:eastAsia="宋体" w:cs="Arial" w:hint="eastAsia"/>
          <w:szCs w:val="20"/>
          <w:lang w:eastAsia="zh-CN"/>
        </w:rPr>
        <w:t xml:space="preserve">Another </w:t>
      </w:r>
      <w:r w:rsidR="0042180D">
        <w:rPr>
          <w:rFonts w:eastAsiaTheme="minorEastAsia" w:hint="eastAsia"/>
          <w:lang w:val="en-GB" w:eastAsia="zh-CN"/>
        </w:rPr>
        <w:t xml:space="preserve">company raised that after the UL congestion had been solved, the bitrate should be </w:t>
      </w:r>
      <w:r w:rsidR="0042180D">
        <w:rPr>
          <w:rFonts w:eastAsiaTheme="minorEastAsia"/>
          <w:lang w:val="en-GB" w:eastAsia="zh-CN"/>
        </w:rPr>
        <w:t>recovered</w:t>
      </w:r>
      <w:r w:rsidR="0042180D">
        <w:rPr>
          <w:rFonts w:eastAsiaTheme="minorEastAsia" w:hint="eastAsia"/>
          <w:lang w:val="en-GB" w:eastAsia="zh-CN"/>
        </w:rPr>
        <w:t xml:space="preserve"> to normal status. While the peer UE </w:t>
      </w:r>
      <w:r w:rsidR="002E7C43">
        <w:rPr>
          <w:rFonts w:eastAsiaTheme="minorEastAsia" w:hint="eastAsia"/>
          <w:lang w:val="en-GB" w:eastAsia="zh-CN"/>
        </w:rPr>
        <w:t>may</w:t>
      </w:r>
      <w:r w:rsidR="0042180D">
        <w:rPr>
          <w:rFonts w:eastAsiaTheme="minorEastAsia" w:hint="eastAsia"/>
          <w:lang w:val="en-GB" w:eastAsia="zh-CN"/>
        </w:rPr>
        <w:t xml:space="preserve"> </w:t>
      </w:r>
      <w:r w:rsidR="002E7C43">
        <w:rPr>
          <w:rFonts w:eastAsiaTheme="minorEastAsia" w:hint="eastAsia"/>
          <w:lang w:val="en-GB" w:eastAsia="zh-CN"/>
        </w:rPr>
        <w:t>send a query message to its local gNB to check if the recommended bit rate can be provided.</w:t>
      </w:r>
      <w:r w:rsidR="00213858" w:rsidRPr="00213858">
        <w:rPr>
          <w:rFonts w:eastAsiaTheme="minorEastAsia"/>
          <w:lang w:eastAsia="zh-CN"/>
        </w:rPr>
        <w:t xml:space="preserve"> </w:t>
      </w:r>
      <w:r w:rsidR="00213858" w:rsidRPr="00FA5B52">
        <w:rPr>
          <w:rFonts w:eastAsiaTheme="minorEastAsia"/>
          <w:lang w:eastAsia="zh-CN"/>
        </w:rPr>
        <w:t>This is to avoid ping pong in tuning where the increase of the bitrate in one end of the connection is immediately followed by a request from the other end to reduce the bit rate.</w:t>
      </w:r>
      <w:r w:rsidR="00213858">
        <w:rPr>
          <w:rFonts w:eastAsiaTheme="minorEastAsia" w:hint="eastAsia"/>
          <w:lang w:eastAsia="zh-CN"/>
        </w:rPr>
        <w:t xml:space="preserve">  </w:t>
      </w:r>
      <w:r w:rsidR="00213858" w:rsidRPr="00FA5B52">
        <w:rPr>
          <w:rFonts w:eastAsiaTheme="minorEastAsia"/>
          <w:lang w:eastAsia="zh-CN"/>
        </w:rPr>
        <w:t xml:space="preserve">Furthermore, to limit UE sending frequent query messages, a prohibit timers can be configured by the </w:t>
      </w:r>
      <w:r w:rsidR="00213858">
        <w:rPr>
          <w:rFonts w:eastAsiaTheme="minorEastAsia" w:hint="eastAsia"/>
          <w:lang w:eastAsia="zh-CN"/>
        </w:rPr>
        <w:t>gNB.</w:t>
      </w:r>
      <w:r w:rsidR="00321AF8">
        <w:rPr>
          <w:rFonts w:eastAsiaTheme="minorEastAsia" w:hint="eastAsia"/>
          <w:lang w:val="en-GB" w:eastAsia="zh-CN"/>
        </w:rPr>
        <w:t xml:space="preserve"> </w:t>
      </w:r>
      <w:r w:rsidR="007758D2">
        <w:rPr>
          <w:rFonts w:eastAsiaTheme="minorEastAsia" w:hint="eastAsia"/>
          <w:lang w:val="en-GB" w:eastAsia="zh-CN"/>
        </w:rPr>
        <w:t>T</w:t>
      </w:r>
      <w:r w:rsidR="00FB48AF">
        <w:rPr>
          <w:rFonts w:eastAsiaTheme="minorEastAsia" w:hint="eastAsia"/>
          <w:lang w:val="en-GB" w:eastAsia="zh-CN"/>
        </w:rPr>
        <w:t xml:space="preserve">he query </w:t>
      </w:r>
      <w:r w:rsidR="007758D2">
        <w:rPr>
          <w:rFonts w:eastAsiaTheme="minorEastAsia" w:hint="eastAsia"/>
          <w:lang w:val="en-GB" w:eastAsia="zh-CN"/>
        </w:rPr>
        <w:t xml:space="preserve">procedure </w:t>
      </w:r>
      <w:r w:rsidR="00FB48AF">
        <w:rPr>
          <w:rFonts w:eastAsiaTheme="minorEastAsia" w:hint="eastAsia"/>
          <w:lang w:val="en-GB" w:eastAsia="zh-CN"/>
        </w:rPr>
        <w:t xml:space="preserve">is to handle the </w:t>
      </w:r>
      <w:r w:rsidR="00A61330">
        <w:rPr>
          <w:rFonts w:eastAsiaTheme="minorEastAsia" w:hint="eastAsia"/>
          <w:lang w:val="en-GB" w:eastAsia="zh-CN"/>
        </w:rPr>
        <w:t>V</w:t>
      </w:r>
      <w:r w:rsidR="00FB48AF">
        <w:rPr>
          <w:rFonts w:eastAsiaTheme="minorEastAsia" w:hint="eastAsia"/>
          <w:lang w:val="en-GB" w:eastAsia="zh-CN"/>
        </w:rPr>
        <w:t xml:space="preserve">ideo and </w:t>
      </w:r>
      <w:r w:rsidR="00A61330">
        <w:rPr>
          <w:rFonts w:eastAsiaTheme="minorEastAsia" w:hint="eastAsia"/>
          <w:lang w:val="en-GB" w:eastAsia="zh-CN"/>
        </w:rPr>
        <w:t>V</w:t>
      </w:r>
      <w:r w:rsidR="00FB48AF">
        <w:rPr>
          <w:rFonts w:eastAsiaTheme="minorEastAsia" w:hint="eastAsia"/>
          <w:lang w:val="en-GB" w:eastAsia="zh-CN"/>
        </w:rPr>
        <w:t>o</w:t>
      </w:r>
      <w:r w:rsidR="00A61330">
        <w:rPr>
          <w:rFonts w:eastAsiaTheme="minorEastAsia" w:hint="eastAsia"/>
          <w:lang w:val="en-GB" w:eastAsia="zh-CN"/>
        </w:rPr>
        <w:t>IP</w:t>
      </w:r>
      <w:r w:rsidR="00FB48AF">
        <w:rPr>
          <w:rFonts w:eastAsiaTheme="minorEastAsia" w:hint="eastAsia"/>
          <w:lang w:val="en-GB" w:eastAsia="zh-CN"/>
        </w:rPr>
        <w:t xml:space="preserve"> service, in the current Rel-19 XR service, it is not clear the benefit to introduce this query procedure. </w:t>
      </w:r>
      <w:r w:rsidR="00302FBE">
        <w:rPr>
          <w:rFonts w:eastAsia="宋体" w:cs="Arial" w:hint="eastAsia"/>
          <w:szCs w:val="20"/>
          <w:lang w:eastAsia="zh-CN"/>
        </w:rPr>
        <w:t xml:space="preserve">Hence, </w:t>
      </w:r>
      <w:r w:rsidR="007A59AF">
        <w:rPr>
          <w:rFonts w:eastAsia="宋体" w:cs="Arial" w:hint="eastAsia"/>
          <w:szCs w:val="20"/>
          <w:lang w:eastAsia="zh-CN"/>
        </w:rPr>
        <w:t>the</w:t>
      </w:r>
      <w:r w:rsidR="00302FBE">
        <w:rPr>
          <w:rFonts w:eastAsia="宋体" w:cs="Arial" w:hint="eastAsia"/>
          <w:szCs w:val="20"/>
          <w:lang w:eastAsia="zh-CN"/>
        </w:rPr>
        <w:t xml:space="preserve"> query message and related prohibit timer is not supported in Rel-19 XR UL rate control.</w:t>
      </w:r>
    </w:p>
    <w:p w14:paraId="3AADA257" w14:textId="160D42B7" w:rsidR="00A86547" w:rsidRDefault="00AA69AB" w:rsidP="00AA69AB">
      <w:pPr>
        <w:pStyle w:val="a7"/>
        <w:rPr>
          <w:rFonts w:eastAsiaTheme="minorEastAsia"/>
          <w:b/>
          <w:lang w:eastAsia="zh-CN"/>
        </w:rPr>
      </w:pPr>
      <w:bookmarkStart w:id="9" w:name="_Ref188345241"/>
      <w:r w:rsidRPr="00AA69AB">
        <w:rPr>
          <w:rFonts w:eastAsiaTheme="minorEastAsia"/>
          <w:b/>
          <w:lang w:eastAsia="zh-CN"/>
        </w:rPr>
        <w:t xml:space="preserve">Proposal </w:t>
      </w:r>
      <w:r w:rsidRPr="00AA69AB">
        <w:rPr>
          <w:rFonts w:eastAsiaTheme="minorEastAsia"/>
          <w:b/>
          <w:lang w:eastAsia="zh-CN"/>
        </w:rPr>
        <w:fldChar w:fldCharType="begin"/>
      </w:r>
      <w:r w:rsidRPr="00AA69AB">
        <w:rPr>
          <w:rFonts w:eastAsiaTheme="minorEastAsia"/>
          <w:b/>
          <w:lang w:eastAsia="zh-CN"/>
        </w:rPr>
        <w:instrText xml:space="preserve"> SEQ Proposal \* ARABIC </w:instrText>
      </w:r>
      <w:r w:rsidRPr="00AA69AB">
        <w:rPr>
          <w:rFonts w:eastAsiaTheme="minorEastAsia"/>
          <w:b/>
          <w:lang w:eastAsia="zh-CN"/>
        </w:rPr>
        <w:fldChar w:fldCharType="separate"/>
      </w:r>
      <w:r w:rsidRPr="00AA69AB">
        <w:rPr>
          <w:rFonts w:eastAsiaTheme="minorEastAsia"/>
          <w:b/>
          <w:lang w:eastAsia="zh-CN"/>
        </w:rPr>
        <w:t>4</w:t>
      </w:r>
      <w:r w:rsidRPr="00AA69AB">
        <w:rPr>
          <w:rFonts w:eastAsiaTheme="minorEastAsia"/>
          <w:b/>
          <w:lang w:eastAsia="zh-CN"/>
        </w:rPr>
        <w:fldChar w:fldCharType="end"/>
      </w:r>
      <w:r w:rsidR="00B20AFF" w:rsidRPr="00147BDD">
        <w:rPr>
          <w:rFonts w:eastAsiaTheme="minorEastAsia"/>
          <w:b/>
          <w:lang w:eastAsia="zh-CN"/>
        </w:rPr>
        <w:t>:</w:t>
      </w:r>
      <w:r w:rsidR="00B20AFF">
        <w:rPr>
          <w:rFonts w:eastAsiaTheme="minorEastAsia" w:hint="eastAsia"/>
          <w:b/>
          <w:lang w:eastAsia="zh-CN"/>
        </w:rPr>
        <w:t xml:space="preserve"> Query message and related prohibit timer is not supported in Rel-19 XR rate control.</w:t>
      </w:r>
      <w:bookmarkEnd w:id="9"/>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7CBAC05A" w14:textId="24BE5018" w:rsidR="00C07950" w:rsidRDefault="00C07950" w:rsidP="00A0467A">
      <w:pPr>
        <w:pStyle w:val="a7"/>
        <w:jc w:val="both"/>
        <w:rPr>
          <w:b/>
          <w:bCs/>
        </w:rPr>
      </w:pPr>
      <w:r>
        <w:rPr>
          <w:b/>
          <w:bCs/>
        </w:rPr>
        <w:fldChar w:fldCharType="begin"/>
      </w:r>
      <w:r>
        <w:rPr>
          <w:b/>
          <w:bCs/>
        </w:rPr>
        <w:instrText xml:space="preserve"> REF _Ref188345232 \h </w:instrText>
      </w:r>
      <w:r>
        <w:rPr>
          <w:b/>
          <w:bCs/>
        </w:rPr>
      </w:r>
      <w:r>
        <w:rPr>
          <w:b/>
          <w:bCs/>
        </w:rPr>
        <w:fldChar w:fldCharType="separate"/>
      </w:r>
      <w:r w:rsidR="00A773F7" w:rsidRPr="005F57ED">
        <w:rPr>
          <w:b/>
          <w:bCs/>
        </w:rPr>
        <w:t xml:space="preserve">Proposal </w:t>
      </w:r>
      <w:r w:rsidR="00A773F7">
        <w:rPr>
          <w:b/>
          <w:bCs/>
          <w:noProof/>
        </w:rPr>
        <w:t>1</w:t>
      </w:r>
      <w:r w:rsidR="00A773F7">
        <w:rPr>
          <w:rFonts w:hint="eastAsia"/>
          <w:b/>
          <w:bCs/>
          <w:lang w:eastAsia="zh-CN"/>
        </w:rPr>
        <w:t>:</w:t>
      </w:r>
      <w:r w:rsidR="00A773F7" w:rsidRPr="008E3DC5">
        <w:rPr>
          <w:rFonts w:eastAsiaTheme="minorEastAsia"/>
          <w:b/>
          <w:lang w:eastAsia="zh-CN"/>
        </w:rPr>
        <w:t xml:space="preserve"> </w:t>
      </w:r>
      <w:r w:rsidR="00A773F7">
        <w:rPr>
          <w:rFonts w:eastAsiaTheme="minorEastAsia" w:hint="eastAsia"/>
          <w:b/>
          <w:lang w:eastAsia="zh-CN"/>
        </w:rPr>
        <w:t>RAN2 postpones discussing the details on per QoS flow level solution until LS reply received.</w:t>
      </w:r>
      <w:r>
        <w:rPr>
          <w:b/>
          <w:bCs/>
        </w:rPr>
        <w:fldChar w:fldCharType="end"/>
      </w:r>
    </w:p>
    <w:p w14:paraId="35020670" w14:textId="5F96694B" w:rsidR="00C07950" w:rsidRDefault="00C07950" w:rsidP="00C07950">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_Ref188345236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A773F7" w:rsidRPr="005F57ED">
        <w:rPr>
          <w:b/>
          <w:bCs/>
        </w:rPr>
        <w:t xml:space="preserve">Proposal </w:t>
      </w:r>
      <w:r w:rsidR="00A773F7">
        <w:rPr>
          <w:b/>
          <w:bCs/>
          <w:noProof/>
        </w:rPr>
        <w:t>2</w:t>
      </w:r>
      <w:r w:rsidR="00A773F7">
        <w:rPr>
          <w:rFonts w:hint="eastAsia"/>
          <w:lang w:eastAsia="zh-CN"/>
        </w:rPr>
        <w:t xml:space="preserve">: </w:t>
      </w:r>
      <w:r w:rsidR="00A773F7" w:rsidRPr="005F57ED">
        <w:rPr>
          <w:rFonts w:eastAsiaTheme="minorEastAsia"/>
          <w:b/>
          <w:lang w:eastAsia="zh-CN"/>
        </w:rPr>
        <w:t xml:space="preserve">RAN2 adapts the new </w:t>
      </w:r>
      <w:r w:rsidR="00A773F7">
        <w:rPr>
          <w:rFonts w:eastAsiaTheme="minorEastAsia" w:hint="eastAsia"/>
          <w:b/>
          <w:lang w:eastAsia="zh-CN"/>
        </w:rPr>
        <w:t>v</w:t>
      </w:r>
      <w:r w:rsidR="00A773F7" w:rsidRPr="005F57ED">
        <w:rPr>
          <w:rFonts w:eastAsiaTheme="minorEastAsia"/>
          <w:b/>
          <w:lang w:eastAsia="zh-CN"/>
        </w:rPr>
        <w:t>alues for Bit Rate field table</w:t>
      </w:r>
      <w:r w:rsidR="00A773F7">
        <w:rPr>
          <w:rFonts w:eastAsiaTheme="minorEastAsia" w:hint="eastAsia"/>
          <w:b/>
          <w:lang w:eastAsia="zh-CN"/>
        </w:rPr>
        <w:t xml:space="preserve"> (7 bits)</w:t>
      </w:r>
      <w:r w:rsidR="00A773F7" w:rsidRPr="005F57ED">
        <w:rPr>
          <w:rFonts w:eastAsiaTheme="minorEastAsia"/>
          <w:b/>
          <w:lang w:eastAsia="zh-CN"/>
        </w:rPr>
        <w:t xml:space="preserve"> for R</w:t>
      </w:r>
      <w:r w:rsidR="00A773F7">
        <w:rPr>
          <w:rFonts w:eastAsiaTheme="minorEastAsia" w:hint="eastAsia"/>
          <w:b/>
          <w:lang w:eastAsia="zh-CN"/>
        </w:rPr>
        <w:t>el-</w:t>
      </w:r>
      <w:r w:rsidR="00A773F7" w:rsidRPr="005F57ED">
        <w:rPr>
          <w:rFonts w:eastAsiaTheme="minorEastAsia"/>
          <w:b/>
          <w:lang w:eastAsia="zh-CN"/>
        </w:rPr>
        <w:t>19 XR rate control.</w:t>
      </w:r>
      <w:r>
        <w:rPr>
          <w:rFonts w:eastAsiaTheme="minorEastAsia"/>
          <w:lang w:val="en-GB" w:eastAsia="zh-CN"/>
        </w:rPr>
        <w:fldChar w:fldCharType="end"/>
      </w:r>
      <w:r w:rsidR="00543EBD">
        <w:rPr>
          <w:rFonts w:eastAsiaTheme="minorEastAsia"/>
          <w:lang w:val="en-GB" w:eastAsia="zh-CN"/>
        </w:rPr>
        <w:t xml:space="preserve"> </w:t>
      </w:r>
    </w:p>
    <w:p w14:paraId="7CF85805" w14:textId="456648F9" w:rsidR="00C07950" w:rsidRDefault="00C07950" w:rsidP="00C07950">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_Ref188345238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A773F7" w:rsidRPr="005F57ED">
        <w:rPr>
          <w:b/>
          <w:bCs/>
        </w:rPr>
        <w:t xml:space="preserve">Proposal </w:t>
      </w:r>
      <w:r w:rsidR="00A773F7">
        <w:rPr>
          <w:b/>
          <w:bCs/>
          <w:noProof/>
        </w:rPr>
        <w:t>3</w:t>
      </w:r>
      <w:r w:rsidR="00A773F7" w:rsidRPr="005F57ED">
        <w:rPr>
          <w:b/>
          <w:bCs/>
          <w:lang w:eastAsia="zh-CN"/>
        </w:rPr>
        <w:t xml:space="preserve">: </w:t>
      </w:r>
      <w:r w:rsidR="00A773F7">
        <w:rPr>
          <w:rFonts w:hint="eastAsia"/>
          <w:b/>
          <w:bCs/>
          <w:lang w:eastAsia="zh-CN"/>
        </w:rPr>
        <w:t>RAN2 agrees that UE using one UL RRC signalling to let the gNB get the information of which QoS flow(s) can be throttled in Rel-19 XR.</w:t>
      </w:r>
      <w:r>
        <w:rPr>
          <w:rFonts w:eastAsiaTheme="minorEastAsia"/>
          <w:lang w:val="en-GB" w:eastAsia="zh-CN"/>
        </w:rPr>
        <w:fldChar w:fldCharType="end"/>
      </w:r>
    </w:p>
    <w:p w14:paraId="4EDD5F76" w14:textId="136A887C" w:rsidR="00C07950" w:rsidRPr="00C07950" w:rsidRDefault="00C07950" w:rsidP="00C07950">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_Ref188345241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A773F7" w:rsidRPr="00AA69AB">
        <w:rPr>
          <w:rFonts w:eastAsiaTheme="minorEastAsia"/>
          <w:b/>
          <w:lang w:eastAsia="zh-CN"/>
        </w:rPr>
        <w:t>Proposal 4</w:t>
      </w:r>
      <w:r w:rsidR="00A773F7" w:rsidRPr="00147BDD">
        <w:rPr>
          <w:rFonts w:eastAsiaTheme="minorEastAsia"/>
          <w:b/>
          <w:lang w:eastAsia="zh-CN"/>
        </w:rPr>
        <w:t>:</w:t>
      </w:r>
      <w:r w:rsidR="00A773F7">
        <w:rPr>
          <w:rFonts w:eastAsiaTheme="minorEastAsia" w:hint="eastAsia"/>
          <w:b/>
          <w:lang w:eastAsia="zh-CN"/>
        </w:rPr>
        <w:t xml:space="preserve"> Query message and related prohibit timer is not supported in Rel-19 XR rate control.</w:t>
      </w:r>
      <w:r>
        <w:rPr>
          <w:rFonts w:eastAsiaTheme="minorEastAsia"/>
          <w:lang w:val="en-GB" w:eastAsia="zh-CN"/>
        </w:rPr>
        <w:fldChar w:fldCharType="end"/>
      </w:r>
    </w:p>
    <w:p w14:paraId="06BDBFCB" w14:textId="77777777" w:rsidR="006E777C" w:rsidRDefault="006E777C" w:rsidP="006E777C">
      <w:pPr>
        <w:pStyle w:val="1"/>
        <w:keepNext w:val="0"/>
        <w:widowControl w:val="0"/>
        <w:jc w:val="both"/>
      </w:pPr>
      <w:r>
        <w:rPr>
          <w:rFonts w:hint="eastAsia"/>
        </w:rPr>
        <w:lastRenderedPageBreak/>
        <w:t>Reference</w:t>
      </w:r>
    </w:p>
    <w:p w14:paraId="7A78C8D6" w14:textId="5381861B" w:rsidR="006E777C" w:rsidRDefault="00631AFE" w:rsidP="00C4075C">
      <w:pPr>
        <w:pStyle w:val="a0"/>
        <w:numPr>
          <w:ilvl w:val="0"/>
          <w:numId w:val="10"/>
        </w:numPr>
        <w:rPr>
          <w:rFonts w:eastAsia="等线"/>
          <w:lang w:eastAsia="zh-CN"/>
        </w:rPr>
      </w:pPr>
      <w:bookmarkStart w:id="10" w:name="_Ref181627928"/>
      <w:r w:rsidRPr="00631AFE">
        <w:rPr>
          <w:rFonts w:eastAsia="等线"/>
          <w:lang w:eastAsia="zh-CN"/>
        </w:rPr>
        <w:t>R2-2410915</w:t>
      </w:r>
      <w:r w:rsidRPr="00631AFE">
        <w:rPr>
          <w:rFonts w:eastAsia="等线"/>
          <w:lang w:eastAsia="zh-CN"/>
        </w:rPr>
        <w:tab/>
        <w:t>Report from session on R18 MBS, R18 QoE and R19 XR</w:t>
      </w:r>
      <w:r w:rsidRPr="00631AFE">
        <w:rPr>
          <w:rFonts w:eastAsia="等线"/>
          <w:lang w:eastAsia="zh-CN"/>
        </w:rPr>
        <w:tab/>
        <w:t>Session chair (Huawei)</w:t>
      </w:r>
      <w:r w:rsidRPr="00631AFE">
        <w:rPr>
          <w:rFonts w:eastAsia="等线"/>
          <w:lang w:eastAsia="zh-CN"/>
        </w:rPr>
        <w:tab/>
        <w:t>report</w:t>
      </w:r>
      <w:bookmarkEnd w:id="10"/>
    </w:p>
    <w:p w14:paraId="625822B6" w14:textId="29E1643E" w:rsidR="009349D8" w:rsidRDefault="0093284F" w:rsidP="00C4075C">
      <w:pPr>
        <w:pStyle w:val="a0"/>
        <w:numPr>
          <w:ilvl w:val="0"/>
          <w:numId w:val="10"/>
        </w:numPr>
        <w:rPr>
          <w:rFonts w:eastAsia="等线"/>
          <w:lang w:eastAsia="zh-CN"/>
        </w:rPr>
      </w:pPr>
      <w:bookmarkStart w:id="11" w:name="_Ref188278247"/>
      <w:r w:rsidRPr="0093284F">
        <w:rPr>
          <w:rFonts w:eastAsia="等线"/>
          <w:lang w:eastAsia="zh-CN"/>
        </w:rPr>
        <w:t>R2-2411218</w:t>
      </w:r>
      <w:r>
        <w:rPr>
          <w:rFonts w:eastAsia="等线" w:hint="eastAsia"/>
          <w:lang w:eastAsia="zh-CN"/>
        </w:rPr>
        <w:t xml:space="preserve"> </w:t>
      </w:r>
      <w:r w:rsidRPr="0093284F">
        <w:rPr>
          <w:rFonts w:eastAsia="等线"/>
          <w:lang w:eastAsia="zh-CN"/>
        </w:rPr>
        <w:t>LS on XR UL bit rate control</w:t>
      </w:r>
      <w:bookmarkEnd w:id="11"/>
      <w:r>
        <w:rPr>
          <w:rFonts w:eastAsia="等线" w:hint="eastAsia"/>
          <w:lang w:eastAsia="zh-CN"/>
        </w:rPr>
        <w:t xml:space="preserve"> </w:t>
      </w:r>
    </w:p>
    <w:p w14:paraId="00038AF5" w14:textId="5FFC3651" w:rsidR="00B9648D" w:rsidRDefault="00B9648D" w:rsidP="00C4075C">
      <w:pPr>
        <w:pStyle w:val="a0"/>
        <w:numPr>
          <w:ilvl w:val="0"/>
          <w:numId w:val="10"/>
        </w:numPr>
        <w:rPr>
          <w:rFonts w:eastAsia="等线"/>
          <w:lang w:eastAsia="zh-CN"/>
        </w:rPr>
      </w:pPr>
      <w:bookmarkStart w:id="12" w:name="_Ref188271147"/>
      <w:r w:rsidRPr="00B9648D">
        <w:rPr>
          <w:rFonts w:eastAsia="等线"/>
          <w:lang w:eastAsia="zh-CN"/>
        </w:rPr>
        <w:t>R2-2409273</w:t>
      </w:r>
      <w:r w:rsidRPr="00B9648D">
        <w:rPr>
          <w:rFonts w:eastAsia="等线"/>
          <w:lang w:eastAsia="zh-CN"/>
        </w:rPr>
        <w:tab/>
        <w:t>LS on appropriate range and granularity of bit rate adaptation for XR applications</w:t>
      </w:r>
      <w:r w:rsidRPr="00B9648D">
        <w:rPr>
          <w:rFonts w:eastAsia="等线"/>
          <w:lang w:eastAsia="zh-CN"/>
        </w:rPr>
        <w:tab/>
        <w:t>RAN2</w:t>
      </w:r>
      <w:r w:rsidRPr="00B9648D">
        <w:rPr>
          <w:rFonts w:eastAsia="等线"/>
          <w:lang w:eastAsia="zh-CN"/>
        </w:rPr>
        <w:tab/>
        <w:t>LS out</w:t>
      </w:r>
      <w:r w:rsidRPr="00B9648D">
        <w:rPr>
          <w:rFonts w:eastAsia="等线"/>
          <w:lang w:eastAsia="zh-CN"/>
        </w:rPr>
        <w:tab/>
        <w:t>NR_XR_Ph3-Core</w:t>
      </w:r>
      <w:r w:rsidRPr="00B9648D">
        <w:rPr>
          <w:rFonts w:eastAsia="等线"/>
          <w:lang w:eastAsia="zh-CN"/>
        </w:rPr>
        <w:tab/>
        <w:t>To:SA4</w:t>
      </w:r>
      <w:bookmarkEnd w:id="12"/>
    </w:p>
    <w:p w14:paraId="2FAC35A5" w14:textId="6F60CD14" w:rsidR="00C34EB9" w:rsidRPr="00EE22F4" w:rsidRDefault="00CF130D" w:rsidP="00EE22F4">
      <w:pPr>
        <w:pStyle w:val="a0"/>
        <w:numPr>
          <w:ilvl w:val="0"/>
          <w:numId w:val="10"/>
        </w:numPr>
        <w:rPr>
          <w:rFonts w:eastAsia="等线"/>
          <w:lang w:eastAsia="zh-CN"/>
        </w:rPr>
      </w:pPr>
      <w:bookmarkStart w:id="13" w:name="_Ref188271285"/>
      <w:r w:rsidRPr="00BF1E4B">
        <w:rPr>
          <w:bCs/>
        </w:rPr>
        <w:t>S4-24</w:t>
      </w:r>
      <w:r>
        <w:rPr>
          <w:bCs/>
        </w:rPr>
        <w:t>2182</w:t>
      </w:r>
      <w:r>
        <w:rPr>
          <w:rFonts w:eastAsiaTheme="minorEastAsia" w:hint="eastAsia"/>
          <w:bCs/>
          <w:lang w:eastAsia="zh-CN"/>
        </w:rPr>
        <w:t xml:space="preserve"> </w:t>
      </w:r>
      <w:r w:rsidRPr="00840790">
        <w:rPr>
          <w:color w:val="000000"/>
        </w:rPr>
        <w:t xml:space="preserve">Reply </w:t>
      </w:r>
      <w:r w:rsidRPr="00840790">
        <w:rPr>
          <w:color w:val="000000"/>
          <w:lang w:eastAsia="zh-CN"/>
        </w:rPr>
        <w:t xml:space="preserve">to </w:t>
      </w:r>
      <w:r w:rsidRPr="00840790">
        <w:t>LS on appropriate range and granularity of bit rate adaptation for XR applications</w:t>
      </w:r>
      <w:bookmarkEnd w:id="13"/>
    </w:p>
    <w:sectPr w:rsidR="00C34EB9" w:rsidRPr="00EE22F4"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7BA38" w14:textId="77777777" w:rsidR="00287C0B" w:rsidRDefault="00287C0B">
      <w:r>
        <w:separator/>
      </w:r>
    </w:p>
  </w:endnote>
  <w:endnote w:type="continuationSeparator" w:id="0">
    <w:p w14:paraId="3098415E" w14:textId="77777777" w:rsidR="00287C0B" w:rsidRDefault="00287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8994" w14:textId="77777777" w:rsidR="00287C0B" w:rsidRDefault="00287C0B">
      <w:r>
        <w:separator/>
      </w:r>
    </w:p>
  </w:footnote>
  <w:footnote w:type="continuationSeparator" w:id="0">
    <w:p w14:paraId="124DE05F" w14:textId="77777777" w:rsidR="00287C0B" w:rsidRDefault="00287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970F5"/>
    <w:multiLevelType w:val="hybridMultilevel"/>
    <w:tmpl w:val="3F0044C6"/>
    <w:lvl w:ilvl="0" w:tplc="D90E6AF2">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56B68C3"/>
    <w:multiLevelType w:val="hybridMultilevel"/>
    <w:tmpl w:val="A2FE7BF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097EFC"/>
    <w:multiLevelType w:val="hybridMultilevel"/>
    <w:tmpl w:val="735E8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9"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A402D5"/>
    <w:multiLevelType w:val="hybridMultilevel"/>
    <w:tmpl w:val="4AB46814"/>
    <w:lvl w:ilvl="0" w:tplc="D90E6AF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1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2461007">
    <w:abstractNumId w:val="21"/>
  </w:num>
  <w:num w:numId="2" w16cid:durableId="1628774744">
    <w:abstractNumId w:val="19"/>
  </w:num>
  <w:num w:numId="3" w16cid:durableId="1216508253">
    <w:abstractNumId w:val="11"/>
  </w:num>
  <w:num w:numId="4" w16cid:durableId="471874523">
    <w:abstractNumId w:val="8"/>
  </w:num>
  <w:num w:numId="5" w16cid:durableId="1225795198">
    <w:abstractNumId w:val="22"/>
  </w:num>
  <w:num w:numId="6" w16cid:durableId="214515201">
    <w:abstractNumId w:val="16"/>
  </w:num>
  <w:num w:numId="7" w16cid:durableId="201748737">
    <w:abstractNumId w:val="20"/>
  </w:num>
  <w:num w:numId="8" w16cid:durableId="903174692">
    <w:abstractNumId w:val="14"/>
  </w:num>
  <w:num w:numId="9" w16cid:durableId="1028221217">
    <w:abstractNumId w:val="7"/>
  </w:num>
  <w:num w:numId="10" w16cid:durableId="854921212">
    <w:abstractNumId w:val="12"/>
  </w:num>
  <w:num w:numId="11" w16cid:durableId="81802310">
    <w:abstractNumId w:val="18"/>
  </w:num>
  <w:num w:numId="12" w16cid:durableId="982080523">
    <w:abstractNumId w:val="15"/>
  </w:num>
  <w:num w:numId="13" w16cid:durableId="231473202">
    <w:abstractNumId w:val="3"/>
  </w:num>
  <w:num w:numId="14" w16cid:durableId="772288553">
    <w:abstractNumId w:val="6"/>
  </w:num>
  <w:num w:numId="15" w16cid:durableId="1752042280">
    <w:abstractNumId w:val="0"/>
  </w:num>
  <w:num w:numId="16" w16cid:durableId="656571783">
    <w:abstractNumId w:val="2"/>
  </w:num>
  <w:num w:numId="17" w16cid:durableId="773325611">
    <w:abstractNumId w:val="10"/>
  </w:num>
  <w:num w:numId="18" w16cid:durableId="1970352229">
    <w:abstractNumId w:val="17"/>
  </w:num>
  <w:num w:numId="19" w16cid:durableId="1319502443">
    <w:abstractNumId w:val="9"/>
  </w:num>
  <w:num w:numId="20" w16cid:durableId="168718915">
    <w:abstractNumId w:val="1"/>
  </w:num>
  <w:num w:numId="21" w16cid:durableId="2086488617">
    <w:abstractNumId w:val="21"/>
  </w:num>
  <w:num w:numId="22" w16cid:durableId="14041291">
    <w:abstractNumId w:val="13"/>
  </w:num>
  <w:num w:numId="23" w16cid:durableId="877166220">
    <w:abstractNumId w:val="4"/>
  </w:num>
  <w:num w:numId="24" w16cid:durableId="1645423731">
    <w:abstractNumId w:val="5"/>
  </w:num>
  <w:num w:numId="25" w16cid:durableId="1811357361">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325"/>
    <w:rsid w:val="00002802"/>
    <w:rsid w:val="000028B0"/>
    <w:rsid w:val="0000292F"/>
    <w:rsid w:val="00003D3D"/>
    <w:rsid w:val="00004B36"/>
    <w:rsid w:val="00006589"/>
    <w:rsid w:val="0001121F"/>
    <w:rsid w:val="0001213C"/>
    <w:rsid w:val="00012761"/>
    <w:rsid w:val="000130E4"/>
    <w:rsid w:val="00013E20"/>
    <w:rsid w:val="000151C9"/>
    <w:rsid w:val="000154EC"/>
    <w:rsid w:val="0001573F"/>
    <w:rsid w:val="000158F5"/>
    <w:rsid w:val="00015C3F"/>
    <w:rsid w:val="0001651E"/>
    <w:rsid w:val="00016973"/>
    <w:rsid w:val="00020329"/>
    <w:rsid w:val="00020439"/>
    <w:rsid w:val="000219DB"/>
    <w:rsid w:val="00021C1D"/>
    <w:rsid w:val="00021EDA"/>
    <w:rsid w:val="00022DDF"/>
    <w:rsid w:val="00022F72"/>
    <w:rsid w:val="000234FC"/>
    <w:rsid w:val="0002487F"/>
    <w:rsid w:val="000254BA"/>
    <w:rsid w:val="00025BEA"/>
    <w:rsid w:val="00026794"/>
    <w:rsid w:val="00026CFC"/>
    <w:rsid w:val="000271D4"/>
    <w:rsid w:val="00027369"/>
    <w:rsid w:val="00027B55"/>
    <w:rsid w:val="00027FDF"/>
    <w:rsid w:val="00030860"/>
    <w:rsid w:val="00030948"/>
    <w:rsid w:val="00031061"/>
    <w:rsid w:val="00031B18"/>
    <w:rsid w:val="00031D24"/>
    <w:rsid w:val="00031F77"/>
    <w:rsid w:val="00032596"/>
    <w:rsid w:val="000325D1"/>
    <w:rsid w:val="0003365E"/>
    <w:rsid w:val="00033F2F"/>
    <w:rsid w:val="00034634"/>
    <w:rsid w:val="00034889"/>
    <w:rsid w:val="00035375"/>
    <w:rsid w:val="0003546D"/>
    <w:rsid w:val="00035729"/>
    <w:rsid w:val="00035AF9"/>
    <w:rsid w:val="00040226"/>
    <w:rsid w:val="00043406"/>
    <w:rsid w:val="00043D20"/>
    <w:rsid w:val="0004410A"/>
    <w:rsid w:val="0004454F"/>
    <w:rsid w:val="00044568"/>
    <w:rsid w:val="00045775"/>
    <w:rsid w:val="00045A53"/>
    <w:rsid w:val="000474C8"/>
    <w:rsid w:val="0004775F"/>
    <w:rsid w:val="000479D0"/>
    <w:rsid w:val="00050D47"/>
    <w:rsid w:val="0005108B"/>
    <w:rsid w:val="00051696"/>
    <w:rsid w:val="00052F29"/>
    <w:rsid w:val="00053678"/>
    <w:rsid w:val="00053E1D"/>
    <w:rsid w:val="00054C73"/>
    <w:rsid w:val="00056E51"/>
    <w:rsid w:val="00057607"/>
    <w:rsid w:val="00057997"/>
    <w:rsid w:val="00057BE6"/>
    <w:rsid w:val="00060321"/>
    <w:rsid w:val="00060846"/>
    <w:rsid w:val="0006199A"/>
    <w:rsid w:val="00063565"/>
    <w:rsid w:val="00063A2F"/>
    <w:rsid w:val="00063B4A"/>
    <w:rsid w:val="00064215"/>
    <w:rsid w:val="0006545A"/>
    <w:rsid w:val="0006572B"/>
    <w:rsid w:val="000662D0"/>
    <w:rsid w:val="000665EB"/>
    <w:rsid w:val="00066790"/>
    <w:rsid w:val="00067489"/>
    <w:rsid w:val="0007010F"/>
    <w:rsid w:val="00070464"/>
    <w:rsid w:val="00072021"/>
    <w:rsid w:val="00072A06"/>
    <w:rsid w:val="00074D97"/>
    <w:rsid w:val="000752AE"/>
    <w:rsid w:val="00076A63"/>
    <w:rsid w:val="000777D4"/>
    <w:rsid w:val="000779ED"/>
    <w:rsid w:val="0008104E"/>
    <w:rsid w:val="00081C71"/>
    <w:rsid w:val="00081E5C"/>
    <w:rsid w:val="0008289A"/>
    <w:rsid w:val="00082CC9"/>
    <w:rsid w:val="000832BD"/>
    <w:rsid w:val="00083533"/>
    <w:rsid w:val="00083926"/>
    <w:rsid w:val="000839F4"/>
    <w:rsid w:val="00087D37"/>
    <w:rsid w:val="00087F3A"/>
    <w:rsid w:val="00090059"/>
    <w:rsid w:val="00091037"/>
    <w:rsid w:val="000915A3"/>
    <w:rsid w:val="00091C39"/>
    <w:rsid w:val="00092310"/>
    <w:rsid w:val="00092734"/>
    <w:rsid w:val="00093414"/>
    <w:rsid w:val="000940B9"/>
    <w:rsid w:val="00096307"/>
    <w:rsid w:val="000963AA"/>
    <w:rsid w:val="0009704E"/>
    <w:rsid w:val="000977BA"/>
    <w:rsid w:val="000978AF"/>
    <w:rsid w:val="000A2408"/>
    <w:rsid w:val="000A29A3"/>
    <w:rsid w:val="000A3517"/>
    <w:rsid w:val="000A3A6B"/>
    <w:rsid w:val="000A4F53"/>
    <w:rsid w:val="000A4F57"/>
    <w:rsid w:val="000A5D58"/>
    <w:rsid w:val="000A6B32"/>
    <w:rsid w:val="000A71B6"/>
    <w:rsid w:val="000A7977"/>
    <w:rsid w:val="000A7DB4"/>
    <w:rsid w:val="000B0D73"/>
    <w:rsid w:val="000B148C"/>
    <w:rsid w:val="000B3478"/>
    <w:rsid w:val="000B47BC"/>
    <w:rsid w:val="000B4D86"/>
    <w:rsid w:val="000B5005"/>
    <w:rsid w:val="000B59F7"/>
    <w:rsid w:val="000B5D8C"/>
    <w:rsid w:val="000B6D78"/>
    <w:rsid w:val="000B6F47"/>
    <w:rsid w:val="000B70F8"/>
    <w:rsid w:val="000B75BE"/>
    <w:rsid w:val="000B7734"/>
    <w:rsid w:val="000B7F2E"/>
    <w:rsid w:val="000C0051"/>
    <w:rsid w:val="000C040B"/>
    <w:rsid w:val="000C16A6"/>
    <w:rsid w:val="000C1B62"/>
    <w:rsid w:val="000C3E89"/>
    <w:rsid w:val="000C4AB8"/>
    <w:rsid w:val="000C4F4C"/>
    <w:rsid w:val="000C511F"/>
    <w:rsid w:val="000C51CC"/>
    <w:rsid w:val="000C52D0"/>
    <w:rsid w:val="000C5D06"/>
    <w:rsid w:val="000C6AC5"/>
    <w:rsid w:val="000C6F3E"/>
    <w:rsid w:val="000C7683"/>
    <w:rsid w:val="000C7720"/>
    <w:rsid w:val="000C7811"/>
    <w:rsid w:val="000D0783"/>
    <w:rsid w:val="000D0E9C"/>
    <w:rsid w:val="000D1E8D"/>
    <w:rsid w:val="000D2BF7"/>
    <w:rsid w:val="000D3414"/>
    <w:rsid w:val="000D363E"/>
    <w:rsid w:val="000D36F9"/>
    <w:rsid w:val="000D3702"/>
    <w:rsid w:val="000D3FB0"/>
    <w:rsid w:val="000D43CE"/>
    <w:rsid w:val="000D4A97"/>
    <w:rsid w:val="000D4E31"/>
    <w:rsid w:val="000D4EF8"/>
    <w:rsid w:val="000D509F"/>
    <w:rsid w:val="000D59ED"/>
    <w:rsid w:val="000D6364"/>
    <w:rsid w:val="000D6773"/>
    <w:rsid w:val="000D77F3"/>
    <w:rsid w:val="000E0C4A"/>
    <w:rsid w:val="000E0D14"/>
    <w:rsid w:val="000E1376"/>
    <w:rsid w:val="000E18A7"/>
    <w:rsid w:val="000E2728"/>
    <w:rsid w:val="000E2C9D"/>
    <w:rsid w:val="000E3830"/>
    <w:rsid w:val="000E3DFA"/>
    <w:rsid w:val="000E44D5"/>
    <w:rsid w:val="000E479C"/>
    <w:rsid w:val="000E4DFE"/>
    <w:rsid w:val="000E51BC"/>
    <w:rsid w:val="000E51C2"/>
    <w:rsid w:val="000E5CCA"/>
    <w:rsid w:val="000E7344"/>
    <w:rsid w:val="000F2AE4"/>
    <w:rsid w:val="000F3A95"/>
    <w:rsid w:val="000F3E7F"/>
    <w:rsid w:val="000F3F06"/>
    <w:rsid w:val="000F53AD"/>
    <w:rsid w:val="000F6FF4"/>
    <w:rsid w:val="000F7DA1"/>
    <w:rsid w:val="00100676"/>
    <w:rsid w:val="0010076C"/>
    <w:rsid w:val="00100F2B"/>
    <w:rsid w:val="00101293"/>
    <w:rsid w:val="0010426B"/>
    <w:rsid w:val="00104D9F"/>
    <w:rsid w:val="001052C9"/>
    <w:rsid w:val="00105CE3"/>
    <w:rsid w:val="001060C3"/>
    <w:rsid w:val="0010728B"/>
    <w:rsid w:val="00107344"/>
    <w:rsid w:val="0011099D"/>
    <w:rsid w:val="00111156"/>
    <w:rsid w:val="001118BF"/>
    <w:rsid w:val="001119FD"/>
    <w:rsid w:val="00112990"/>
    <w:rsid w:val="001130C4"/>
    <w:rsid w:val="001133A0"/>
    <w:rsid w:val="0011346C"/>
    <w:rsid w:val="00114D5F"/>
    <w:rsid w:val="00115166"/>
    <w:rsid w:val="00116834"/>
    <w:rsid w:val="00116FB2"/>
    <w:rsid w:val="001174D4"/>
    <w:rsid w:val="00117C99"/>
    <w:rsid w:val="001209A1"/>
    <w:rsid w:val="001209E1"/>
    <w:rsid w:val="00120B00"/>
    <w:rsid w:val="001215A3"/>
    <w:rsid w:val="00121B5F"/>
    <w:rsid w:val="00121BB1"/>
    <w:rsid w:val="00121F20"/>
    <w:rsid w:val="001222A1"/>
    <w:rsid w:val="00124522"/>
    <w:rsid w:val="001253F9"/>
    <w:rsid w:val="0012581B"/>
    <w:rsid w:val="001258F4"/>
    <w:rsid w:val="00125CFB"/>
    <w:rsid w:val="00126A56"/>
    <w:rsid w:val="001274BE"/>
    <w:rsid w:val="001302C2"/>
    <w:rsid w:val="0013032D"/>
    <w:rsid w:val="00130A35"/>
    <w:rsid w:val="0013138E"/>
    <w:rsid w:val="00131765"/>
    <w:rsid w:val="001328FF"/>
    <w:rsid w:val="00132DC8"/>
    <w:rsid w:val="001338FF"/>
    <w:rsid w:val="0013493C"/>
    <w:rsid w:val="00134DB8"/>
    <w:rsid w:val="00135D4A"/>
    <w:rsid w:val="00136E73"/>
    <w:rsid w:val="00137A4B"/>
    <w:rsid w:val="00137E98"/>
    <w:rsid w:val="00140BD3"/>
    <w:rsid w:val="00141002"/>
    <w:rsid w:val="00143908"/>
    <w:rsid w:val="00144DE2"/>
    <w:rsid w:val="00145B51"/>
    <w:rsid w:val="001474FF"/>
    <w:rsid w:val="00147BDD"/>
    <w:rsid w:val="00150185"/>
    <w:rsid w:val="0015073F"/>
    <w:rsid w:val="00150A99"/>
    <w:rsid w:val="00150F9F"/>
    <w:rsid w:val="00150FB9"/>
    <w:rsid w:val="0015128D"/>
    <w:rsid w:val="00151D17"/>
    <w:rsid w:val="00151EAC"/>
    <w:rsid w:val="00152130"/>
    <w:rsid w:val="0015326C"/>
    <w:rsid w:val="00153479"/>
    <w:rsid w:val="00154359"/>
    <w:rsid w:val="00154798"/>
    <w:rsid w:val="001549A6"/>
    <w:rsid w:val="00155BEB"/>
    <w:rsid w:val="00155E07"/>
    <w:rsid w:val="00156416"/>
    <w:rsid w:val="0015750C"/>
    <w:rsid w:val="00160A71"/>
    <w:rsid w:val="00160D31"/>
    <w:rsid w:val="00160FD8"/>
    <w:rsid w:val="00161C32"/>
    <w:rsid w:val="00161DC3"/>
    <w:rsid w:val="00163279"/>
    <w:rsid w:val="0016371F"/>
    <w:rsid w:val="001640BF"/>
    <w:rsid w:val="0016577A"/>
    <w:rsid w:val="0016691F"/>
    <w:rsid w:val="001675FB"/>
    <w:rsid w:val="0016767F"/>
    <w:rsid w:val="001678D3"/>
    <w:rsid w:val="0017047C"/>
    <w:rsid w:val="00170737"/>
    <w:rsid w:val="00170AB8"/>
    <w:rsid w:val="00170AF4"/>
    <w:rsid w:val="00170DE9"/>
    <w:rsid w:val="001711F6"/>
    <w:rsid w:val="00171E75"/>
    <w:rsid w:val="00172579"/>
    <w:rsid w:val="001727EA"/>
    <w:rsid w:val="001733D3"/>
    <w:rsid w:val="00173446"/>
    <w:rsid w:val="00173D6D"/>
    <w:rsid w:val="0017444E"/>
    <w:rsid w:val="00174654"/>
    <w:rsid w:val="001747B7"/>
    <w:rsid w:val="00175135"/>
    <w:rsid w:val="00175243"/>
    <w:rsid w:val="00175D01"/>
    <w:rsid w:val="0017600F"/>
    <w:rsid w:val="001765BE"/>
    <w:rsid w:val="00177290"/>
    <w:rsid w:val="001772CE"/>
    <w:rsid w:val="00181176"/>
    <w:rsid w:val="00181ACD"/>
    <w:rsid w:val="001820FF"/>
    <w:rsid w:val="00182657"/>
    <w:rsid w:val="001827B5"/>
    <w:rsid w:val="001829C3"/>
    <w:rsid w:val="00183014"/>
    <w:rsid w:val="00183DE1"/>
    <w:rsid w:val="001862EA"/>
    <w:rsid w:val="00193146"/>
    <w:rsid w:val="001938A0"/>
    <w:rsid w:val="00194C3E"/>
    <w:rsid w:val="00194C97"/>
    <w:rsid w:val="001951E8"/>
    <w:rsid w:val="00195810"/>
    <w:rsid w:val="0019662F"/>
    <w:rsid w:val="00196CF3"/>
    <w:rsid w:val="001A037B"/>
    <w:rsid w:val="001A063A"/>
    <w:rsid w:val="001A0BF6"/>
    <w:rsid w:val="001A0E8E"/>
    <w:rsid w:val="001A1D02"/>
    <w:rsid w:val="001A26E2"/>
    <w:rsid w:val="001A2C99"/>
    <w:rsid w:val="001A2D46"/>
    <w:rsid w:val="001A38C5"/>
    <w:rsid w:val="001A38EE"/>
    <w:rsid w:val="001A3FEF"/>
    <w:rsid w:val="001A45D1"/>
    <w:rsid w:val="001A4B28"/>
    <w:rsid w:val="001A52C3"/>
    <w:rsid w:val="001A5D97"/>
    <w:rsid w:val="001A6506"/>
    <w:rsid w:val="001A6AA1"/>
    <w:rsid w:val="001A7C42"/>
    <w:rsid w:val="001B040A"/>
    <w:rsid w:val="001B29B2"/>
    <w:rsid w:val="001B2A81"/>
    <w:rsid w:val="001B3A08"/>
    <w:rsid w:val="001B44BB"/>
    <w:rsid w:val="001B54CE"/>
    <w:rsid w:val="001B5664"/>
    <w:rsid w:val="001B5B8F"/>
    <w:rsid w:val="001B70D4"/>
    <w:rsid w:val="001B70F5"/>
    <w:rsid w:val="001C02C0"/>
    <w:rsid w:val="001C0949"/>
    <w:rsid w:val="001C0953"/>
    <w:rsid w:val="001C1214"/>
    <w:rsid w:val="001C1491"/>
    <w:rsid w:val="001C459A"/>
    <w:rsid w:val="001C557E"/>
    <w:rsid w:val="001C5BC6"/>
    <w:rsid w:val="001C64AB"/>
    <w:rsid w:val="001C6E20"/>
    <w:rsid w:val="001D01A0"/>
    <w:rsid w:val="001D42C3"/>
    <w:rsid w:val="001D4897"/>
    <w:rsid w:val="001D4D78"/>
    <w:rsid w:val="001D565A"/>
    <w:rsid w:val="001D5A3C"/>
    <w:rsid w:val="001D5DB4"/>
    <w:rsid w:val="001E080E"/>
    <w:rsid w:val="001E0DB6"/>
    <w:rsid w:val="001E191D"/>
    <w:rsid w:val="001E1BC6"/>
    <w:rsid w:val="001E25B2"/>
    <w:rsid w:val="001E25DB"/>
    <w:rsid w:val="001E2DAE"/>
    <w:rsid w:val="001E2DE9"/>
    <w:rsid w:val="001E2E01"/>
    <w:rsid w:val="001E4545"/>
    <w:rsid w:val="001E470C"/>
    <w:rsid w:val="001E47DC"/>
    <w:rsid w:val="001E4ACA"/>
    <w:rsid w:val="001E58EB"/>
    <w:rsid w:val="001E6940"/>
    <w:rsid w:val="001E765B"/>
    <w:rsid w:val="001E7A8D"/>
    <w:rsid w:val="001E7D20"/>
    <w:rsid w:val="001E7DF8"/>
    <w:rsid w:val="001F12E6"/>
    <w:rsid w:val="001F1896"/>
    <w:rsid w:val="001F1C46"/>
    <w:rsid w:val="001F2CB1"/>
    <w:rsid w:val="001F2D90"/>
    <w:rsid w:val="001F4B79"/>
    <w:rsid w:val="001F587C"/>
    <w:rsid w:val="001F5A08"/>
    <w:rsid w:val="001F5EF0"/>
    <w:rsid w:val="001F5FDB"/>
    <w:rsid w:val="001F638C"/>
    <w:rsid w:val="001F6BFE"/>
    <w:rsid w:val="001F7A18"/>
    <w:rsid w:val="00200AA1"/>
    <w:rsid w:val="0020158B"/>
    <w:rsid w:val="00202A76"/>
    <w:rsid w:val="002035B7"/>
    <w:rsid w:val="00203994"/>
    <w:rsid w:val="00203EF2"/>
    <w:rsid w:val="0020408F"/>
    <w:rsid w:val="00204A06"/>
    <w:rsid w:val="00204A74"/>
    <w:rsid w:val="002060AD"/>
    <w:rsid w:val="002077A1"/>
    <w:rsid w:val="00207A68"/>
    <w:rsid w:val="0021053C"/>
    <w:rsid w:val="0021181D"/>
    <w:rsid w:val="00211CBD"/>
    <w:rsid w:val="002121A7"/>
    <w:rsid w:val="00213858"/>
    <w:rsid w:val="002142E2"/>
    <w:rsid w:val="00215501"/>
    <w:rsid w:val="0021628C"/>
    <w:rsid w:val="002165C6"/>
    <w:rsid w:val="00216C8A"/>
    <w:rsid w:val="00216CB8"/>
    <w:rsid w:val="00217AEA"/>
    <w:rsid w:val="00217C88"/>
    <w:rsid w:val="00220357"/>
    <w:rsid w:val="00220960"/>
    <w:rsid w:val="0022149D"/>
    <w:rsid w:val="002215D6"/>
    <w:rsid w:val="00221B86"/>
    <w:rsid w:val="002220A8"/>
    <w:rsid w:val="0022229B"/>
    <w:rsid w:val="00222BAF"/>
    <w:rsid w:val="00223445"/>
    <w:rsid w:val="00225BA0"/>
    <w:rsid w:val="00225C69"/>
    <w:rsid w:val="0022663A"/>
    <w:rsid w:val="0022740D"/>
    <w:rsid w:val="00230F4F"/>
    <w:rsid w:val="00231003"/>
    <w:rsid w:val="002311AE"/>
    <w:rsid w:val="0023219E"/>
    <w:rsid w:val="00232545"/>
    <w:rsid w:val="00232A17"/>
    <w:rsid w:val="00233881"/>
    <w:rsid w:val="00233929"/>
    <w:rsid w:val="00233DB1"/>
    <w:rsid w:val="0023452D"/>
    <w:rsid w:val="00234AEA"/>
    <w:rsid w:val="00235D77"/>
    <w:rsid w:val="002368F6"/>
    <w:rsid w:val="00236A78"/>
    <w:rsid w:val="00240AB1"/>
    <w:rsid w:val="00240C2A"/>
    <w:rsid w:val="00241887"/>
    <w:rsid w:val="002419DF"/>
    <w:rsid w:val="00241CA8"/>
    <w:rsid w:val="0024283E"/>
    <w:rsid w:val="002473C3"/>
    <w:rsid w:val="00247A3D"/>
    <w:rsid w:val="00250F9D"/>
    <w:rsid w:val="00251015"/>
    <w:rsid w:val="00251107"/>
    <w:rsid w:val="002513E4"/>
    <w:rsid w:val="00252AB3"/>
    <w:rsid w:val="00252D32"/>
    <w:rsid w:val="002543DB"/>
    <w:rsid w:val="00254855"/>
    <w:rsid w:val="00256400"/>
    <w:rsid w:val="00256FD9"/>
    <w:rsid w:val="00257344"/>
    <w:rsid w:val="00257888"/>
    <w:rsid w:val="00257C42"/>
    <w:rsid w:val="00257F82"/>
    <w:rsid w:val="00257FB5"/>
    <w:rsid w:val="00260902"/>
    <w:rsid w:val="0026155B"/>
    <w:rsid w:val="00262990"/>
    <w:rsid w:val="00263B0F"/>
    <w:rsid w:val="00263EFB"/>
    <w:rsid w:val="00265322"/>
    <w:rsid w:val="00265771"/>
    <w:rsid w:val="00265934"/>
    <w:rsid w:val="00265B4C"/>
    <w:rsid w:val="00266F2D"/>
    <w:rsid w:val="00267BA6"/>
    <w:rsid w:val="00270900"/>
    <w:rsid w:val="0027095C"/>
    <w:rsid w:val="002713B5"/>
    <w:rsid w:val="0027145E"/>
    <w:rsid w:val="002714E2"/>
    <w:rsid w:val="00271A19"/>
    <w:rsid w:val="00272C05"/>
    <w:rsid w:val="00273256"/>
    <w:rsid w:val="00273C00"/>
    <w:rsid w:val="00274B59"/>
    <w:rsid w:val="00274CC7"/>
    <w:rsid w:val="00276B1D"/>
    <w:rsid w:val="002770DC"/>
    <w:rsid w:val="00277596"/>
    <w:rsid w:val="00280F40"/>
    <w:rsid w:val="002827B9"/>
    <w:rsid w:val="00282D58"/>
    <w:rsid w:val="00283327"/>
    <w:rsid w:val="002844D0"/>
    <w:rsid w:val="00284B24"/>
    <w:rsid w:val="0028516B"/>
    <w:rsid w:val="00285171"/>
    <w:rsid w:val="002857F0"/>
    <w:rsid w:val="00285FEC"/>
    <w:rsid w:val="002864DF"/>
    <w:rsid w:val="002871FA"/>
    <w:rsid w:val="002874A9"/>
    <w:rsid w:val="00287C0B"/>
    <w:rsid w:val="00290751"/>
    <w:rsid w:val="0029156B"/>
    <w:rsid w:val="002924C6"/>
    <w:rsid w:val="002925B6"/>
    <w:rsid w:val="0029335F"/>
    <w:rsid w:val="00293C58"/>
    <w:rsid w:val="002948E7"/>
    <w:rsid w:val="002949C7"/>
    <w:rsid w:val="002964B6"/>
    <w:rsid w:val="002A028E"/>
    <w:rsid w:val="002A06AB"/>
    <w:rsid w:val="002A1DC7"/>
    <w:rsid w:val="002A22E1"/>
    <w:rsid w:val="002A25C9"/>
    <w:rsid w:val="002A3E00"/>
    <w:rsid w:val="002A5AE4"/>
    <w:rsid w:val="002A62C8"/>
    <w:rsid w:val="002A65E5"/>
    <w:rsid w:val="002A78B7"/>
    <w:rsid w:val="002A7EF7"/>
    <w:rsid w:val="002B06E7"/>
    <w:rsid w:val="002B076B"/>
    <w:rsid w:val="002B14F6"/>
    <w:rsid w:val="002B2066"/>
    <w:rsid w:val="002B2AB6"/>
    <w:rsid w:val="002B571A"/>
    <w:rsid w:val="002B6194"/>
    <w:rsid w:val="002B6F45"/>
    <w:rsid w:val="002B73C8"/>
    <w:rsid w:val="002B746E"/>
    <w:rsid w:val="002C0A41"/>
    <w:rsid w:val="002C1047"/>
    <w:rsid w:val="002C14BB"/>
    <w:rsid w:val="002C1538"/>
    <w:rsid w:val="002C2386"/>
    <w:rsid w:val="002C304B"/>
    <w:rsid w:val="002C4300"/>
    <w:rsid w:val="002C68AD"/>
    <w:rsid w:val="002C6E49"/>
    <w:rsid w:val="002C6F9F"/>
    <w:rsid w:val="002C7079"/>
    <w:rsid w:val="002C73BD"/>
    <w:rsid w:val="002D0A74"/>
    <w:rsid w:val="002D0EBC"/>
    <w:rsid w:val="002D0F48"/>
    <w:rsid w:val="002D1120"/>
    <w:rsid w:val="002D12A2"/>
    <w:rsid w:val="002D1384"/>
    <w:rsid w:val="002D1908"/>
    <w:rsid w:val="002D198E"/>
    <w:rsid w:val="002D2893"/>
    <w:rsid w:val="002D28E8"/>
    <w:rsid w:val="002D336D"/>
    <w:rsid w:val="002D3E99"/>
    <w:rsid w:val="002D490E"/>
    <w:rsid w:val="002D5D35"/>
    <w:rsid w:val="002D5DE3"/>
    <w:rsid w:val="002D676F"/>
    <w:rsid w:val="002D7151"/>
    <w:rsid w:val="002D71A3"/>
    <w:rsid w:val="002E067F"/>
    <w:rsid w:val="002E29C4"/>
    <w:rsid w:val="002E2F81"/>
    <w:rsid w:val="002E350E"/>
    <w:rsid w:val="002E3A39"/>
    <w:rsid w:val="002E3C70"/>
    <w:rsid w:val="002E3CC9"/>
    <w:rsid w:val="002E43C7"/>
    <w:rsid w:val="002E49CC"/>
    <w:rsid w:val="002E53C4"/>
    <w:rsid w:val="002E615A"/>
    <w:rsid w:val="002E6A70"/>
    <w:rsid w:val="002E7C43"/>
    <w:rsid w:val="002E7DAC"/>
    <w:rsid w:val="002F119F"/>
    <w:rsid w:val="002F11F8"/>
    <w:rsid w:val="002F1CA6"/>
    <w:rsid w:val="002F24F6"/>
    <w:rsid w:val="002F260A"/>
    <w:rsid w:val="002F2C8A"/>
    <w:rsid w:val="002F305A"/>
    <w:rsid w:val="002F320C"/>
    <w:rsid w:val="002F3705"/>
    <w:rsid w:val="002F471F"/>
    <w:rsid w:val="002F5220"/>
    <w:rsid w:val="002F5A36"/>
    <w:rsid w:val="002F6128"/>
    <w:rsid w:val="002F6A35"/>
    <w:rsid w:val="002F78F2"/>
    <w:rsid w:val="002F7A62"/>
    <w:rsid w:val="002F7AD0"/>
    <w:rsid w:val="00302DB1"/>
    <w:rsid w:val="00302EB2"/>
    <w:rsid w:val="00302FBE"/>
    <w:rsid w:val="0030305B"/>
    <w:rsid w:val="0030311B"/>
    <w:rsid w:val="00304133"/>
    <w:rsid w:val="00305899"/>
    <w:rsid w:val="00305C5A"/>
    <w:rsid w:val="00307063"/>
    <w:rsid w:val="00310012"/>
    <w:rsid w:val="00310636"/>
    <w:rsid w:val="00310F1F"/>
    <w:rsid w:val="00311816"/>
    <w:rsid w:val="0031285D"/>
    <w:rsid w:val="00312D87"/>
    <w:rsid w:val="00312F27"/>
    <w:rsid w:val="003137C8"/>
    <w:rsid w:val="00313C8A"/>
    <w:rsid w:val="0031433A"/>
    <w:rsid w:val="00315060"/>
    <w:rsid w:val="003157C5"/>
    <w:rsid w:val="00315A49"/>
    <w:rsid w:val="00316BEA"/>
    <w:rsid w:val="00317041"/>
    <w:rsid w:val="003173E2"/>
    <w:rsid w:val="00317565"/>
    <w:rsid w:val="00317C5C"/>
    <w:rsid w:val="00317CD3"/>
    <w:rsid w:val="00320304"/>
    <w:rsid w:val="003209BE"/>
    <w:rsid w:val="003210BC"/>
    <w:rsid w:val="00321AF8"/>
    <w:rsid w:val="00321B20"/>
    <w:rsid w:val="00321EB9"/>
    <w:rsid w:val="00322487"/>
    <w:rsid w:val="00322EAD"/>
    <w:rsid w:val="003251DC"/>
    <w:rsid w:val="00325694"/>
    <w:rsid w:val="00325DEE"/>
    <w:rsid w:val="00325EB4"/>
    <w:rsid w:val="003260F4"/>
    <w:rsid w:val="00327D0D"/>
    <w:rsid w:val="00330699"/>
    <w:rsid w:val="003314C0"/>
    <w:rsid w:val="00331B19"/>
    <w:rsid w:val="00331D4C"/>
    <w:rsid w:val="0033204C"/>
    <w:rsid w:val="00332ED2"/>
    <w:rsid w:val="00333678"/>
    <w:rsid w:val="00333688"/>
    <w:rsid w:val="003346D8"/>
    <w:rsid w:val="003357B3"/>
    <w:rsid w:val="00335DE9"/>
    <w:rsid w:val="00336269"/>
    <w:rsid w:val="00340CE5"/>
    <w:rsid w:val="00341B33"/>
    <w:rsid w:val="00341F45"/>
    <w:rsid w:val="00342037"/>
    <w:rsid w:val="00342228"/>
    <w:rsid w:val="0034232A"/>
    <w:rsid w:val="00342467"/>
    <w:rsid w:val="0034338A"/>
    <w:rsid w:val="00343C12"/>
    <w:rsid w:val="00343C4A"/>
    <w:rsid w:val="0034415B"/>
    <w:rsid w:val="003459CC"/>
    <w:rsid w:val="00345B2D"/>
    <w:rsid w:val="00345FC7"/>
    <w:rsid w:val="00346342"/>
    <w:rsid w:val="00346646"/>
    <w:rsid w:val="00346782"/>
    <w:rsid w:val="00346AF2"/>
    <w:rsid w:val="00346E37"/>
    <w:rsid w:val="003474A3"/>
    <w:rsid w:val="00350209"/>
    <w:rsid w:val="003508D7"/>
    <w:rsid w:val="00350D70"/>
    <w:rsid w:val="00351A0D"/>
    <w:rsid w:val="00352784"/>
    <w:rsid w:val="00352ECE"/>
    <w:rsid w:val="003532ED"/>
    <w:rsid w:val="0035360B"/>
    <w:rsid w:val="00353D53"/>
    <w:rsid w:val="00353FD4"/>
    <w:rsid w:val="0035452E"/>
    <w:rsid w:val="00354C9F"/>
    <w:rsid w:val="00355776"/>
    <w:rsid w:val="00356011"/>
    <w:rsid w:val="003560E2"/>
    <w:rsid w:val="003565E0"/>
    <w:rsid w:val="00356765"/>
    <w:rsid w:val="00357CB8"/>
    <w:rsid w:val="0036151E"/>
    <w:rsid w:val="00361D42"/>
    <w:rsid w:val="0036292C"/>
    <w:rsid w:val="00362931"/>
    <w:rsid w:val="00362AE2"/>
    <w:rsid w:val="0036302B"/>
    <w:rsid w:val="00363669"/>
    <w:rsid w:val="003639AD"/>
    <w:rsid w:val="00364278"/>
    <w:rsid w:val="003642A8"/>
    <w:rsid w:val="0036485C"/>
    <w:rsid w:val="00365DD3"/>
    <w:rsid w:val="00365E21"/>
    <w:rsid w:val="0036657E"/>
    <w:rsid w:val="003672B9"/>
    <w:rsid w:val="003674D7"/>
    <w:rsid w:val="00370249"/>
    <w:rsid w:val="00370CE8"/>
    <w:rsid w:val="00372077"/>
    <w:rsid w:val="00372D7E"/>
    <w:rsid w:val="00373F8C"/>
    <w:rsid w:val="00375215"/>
    <w:rsid w:val="00375786"/>
    <w:rsid w:val="00376D91"/>
    <w:rsid w:val="00377275"/>
    <w:rsid w:val="00377CD0"/>
    <w:rsid w:val="00380599"/>
    <w:rsid w:val="0038074F"/>
    <w:rsid w:val="003808BC"/>
    <w:rsid w:val="00380FB5"/>
    <w:rsid w:val="00382662"/>
    <w:rsid w:val="00382CA1"/>
    <w:rsid w:val="00383E39"/>
    <w:rsid w:val="00384776"/>
    <w:rsid w:val="00385644"/>
    <w:rsid w:val="00385FEF"/>
    <w:rsid w:val="00386013"/>
    <w:rsid w:val="00386AE8"/>
    <w:rsid w:val="00386C1D"/>
    <w:rsid w:val="00387173"/>
    <w:rsid w:val="00390270"/>
    <w:rsid w:val="003906B6"/>
    <w:rsid w:val="003906D1"/>
    <w:rsid w:val="00390D9F"/>
    <w:rsid w:val="003912F1"/>
    <w:rsid w:val="003916B8"/>
    <w:rsid w:val="0039193C"/>
    <w:rsid w:val="00391ABE"/>
    <w:rsid w:val="0039366F"/>
    <w:rsid w:val="003937EC"/>
    <w:rsid w:val="00393B68"/>
    <w:rsid w:val="00395633"/>
    <w:rsid w:val="003A02D4"/>
    <w:rsid w:val="003A0362"/>
    <w:rsid w:val="003A06F9"/>
    <w:rsid w:val="003A35A4"/>
    <w:rsid w:val="003A401E"/>
    <w:rsid w:val="003A4B53"/>
    <w:rsid w:val="003A7BAF"/>
    <w:rsid w:val="003B0282"/>
    <w:rsid w:val="003B098F"/>
    <w:rsid w:val="003B239E"/>
    <w:rsid w:val="003B31C4"/>
    <w:rsid w:val="003B3582"/>
    <w:rsid w:val="003B361B"/>
    <w:rsid w:val="003B4295"/>
    <w:rsid w:val="003B58C2"/>
    <w:rsid w:val="003B5B09"/>
    <w:rsid w:val="003B7948"/>
    <w:rsid w:val="003B79FD"/>
    <w:rsid w:val="003B7F1D"/>
    <w:rsid w:val="003C02F3"/>
    <w:rsid w:val="003C070C"/>
    <w:rsid w:val="003C19DB"/>
    <w:rsid w:val="003C1F72"/>
    <w:rsid w:val="003C21AC"/>
    <w:rsid w:val="003C22E8"/>
    <w:rsid w:val="003C2301"/>
    <w:rsid w:val="003C30BA"/>
    <w:rsid w:val="003C3296"/>
    <w:rsid w:val="003C5460"/>
    <w:rsid w:val="003C60A1"/>
    <w:rsid w:val="003C67FF"/>
    <w:rsid w:val="003C6C00"/>
    <w:rsid w:val="003C6DE8"/>
    <w:rsid w:val="003C704F"/>
    <w:rsid w:val="003C78E7"/>
    <w:rsid w:val="003D14F3"/>
    <w:rsid w:val="003D249F"/>
    <w:rsid w:val="003D3168"/>
    <w:rsid w:val="003D3401"/>
    <w:rsid w:val="003D3C5A"/>
    <w:rsid w:val="003D3F1B"/>
    <w:rsid w:val="003D4052"/>
    <w:rsid w:val="003D42D9"/>
    <w:rsid w:val="003D45C8"/>
    <w:rsid w:val="003D46C7"/>
    <w:rsid w:val="003D4C20"/>
    <w:rsid w:val="003D505A"/>
    <w:rsid w:val="003D6A4A"/>
    <w:rsid w:val="003D7BA4"/>
    <w:rsid w:val="003E1B4A"/>
    <w:rsid w:val="003E1F55"/>
    <w:rsid w:val="003E373E"/>
    <w:rsid w:val="003E3FE5"/>
    <w:rsid w:val="003E4111"/>
    <w:rsid w:val="003E4253"/>
    <w:rsid w:val="003E54DF"/>
    <w:rsid w:val="003E62B7"/>
    <w:rsid w:val="003E6EF1"/>
    <w:rsid w:val="003E6F13"/>
    <w:rsid w:val="003E7E09"/>
    <w:rsid w:val="003E7F65"/>
    <w:rsid w:val="003E7F6C"/>
    <w:rsid w:val="003F02B4"/>
    <w:rsid w:val="003F099B"/>
    <w:rsid w:val="003F3073"/>
    <w:rsid w:val="003F30CF"/>
    <w:rsid w:val="003F3CBE"/>
    <w:rsid w:val="003F4727"/>
    <w:rsid w:val="003F5088"/>
    <w:rsid w:val="003F59CE"/>
    <w:rsid w:val="003F6015"/>
    <w:rsid w:val="003F62D7"/>
    <w:rsid w:val="003F63F9"/>
    <w:rsid w:val="003F7191"/>
    <w:rsid w:val="003F7FEA"/>
    <w:rsid w:val="004030D3"/>
    <w:rsid w:val="00403D6C"/>
    <w:rsid w:val="00404A8C"/>
    <w:rsid w:val="0040532B"/>
    <w:rsid w:val="004063F3"/>
    <w:rsid w:val="00406AE0"/>
    <w:rsid w:val="00406B16"/>
    <w:rsid w:val="00407204"/>
    <w:rsid w:val="004075FD"/>
    <w:rsid w:val="00407892"/>
    <w:rsid w:val="00407B12"/>
    <w:rsid w:val="00407D8E"/>
    <w:rsid w:val="0041051D"/>
    <w:rsid w:val="0041080A"/>
    <w:rsid w:val="004114AB"/>
    <w:rsid w:val="00411C30"/>
    <w:rsid w:val="00411CF0"/>
    <w:rsid w:val="004123A7"/>
    <w:rsid w:val="004125E8"/>
    <w:rsid w:val="004129D9"/>
    <w:rsid w:val="004131A4"/>
    <w:rsid w:val="004134ED"/>
    <w:rsid w:val="00415203"/>
    <w:rsid w:val="004152FD"/>
    <w:rsid w:val="004156FE"/>
    <w:rsid w:val="00416501"/>
    <w:rsid w:val="00416818"/>
    <w:rsid w:val="00417044"/>
    <w:rsid w:val="004174E8"/>
    <w:rsid w:val="0042001B"/>
    <w:rsid w:val="004208AB"/>
    <w:rsid w:val="0042180D"/>
    <w:rsid w:val="00421D84"/>
    <w:rsid w:val="00421FDB"/>
    <w:rsid w:val="0042200A"/>
    <w:rsid w:val="004224EF"/>
    <w:rsid w:val="00423A8D"/>
    <w:rsid w:val="00424294"/>
    <w:rsid w:val="004245A8"/>
    <w:rsid w:val="00424C95"/>
    <w:rsid w:val="00424F04"/>
    <w:rsid w:val="00425FDE"/>
    <w:rsid w:val="0042619F"/>
    <w:rsid w:val="0042653D"/>
    <w:rsid w:val="00426C6C"/>
    <w:rsid w:val="00430214"/>
    <w:rsid w:val="00431467"/>
    <w:rsid w:val="004316AA"/>
    <w:rsid w:val="00432275"/>
    <w:rsid w:val="0043245F"/>
    <w:rsid w:val="00432C8C"/>
    <w:rsid w:val="004340D1"/>
    <w:rsid w:val="004345CE"/>
    <w:rsid w:val="00436809"/>
    <w:rsid w:val="00436C20"/>
    <w:rsid w:val="00436EDD"/>
    <w:rsid w:val="004411C4"/>
    <w:rsid w:val="00441AC6"/>
    <w:rsid w:val="00441ECF"/>
    <w:rsid w:val="00443486"/>
    <w:rsid w:val="00444735"/>
    <w:rsid w:val="004463BB"/>
    <w:rsid w:val="004471C4"/>
    <w:rsid w:val="00450627"/>
    <w:rsid w:val="00450B06"/>
    <w:rsid w:val="00450DF4"/>
    <w:rsid w:val="00451B89"/>
    <w:rsid w:val="00452A0E"/>
    <w:rsid w:val="00453740"/>
    <w:rsid w:val="00454D87"/>
    <w:rsid w:val="00455B6D"/>
    <w:rsid w:val="00456AA7"/>
    <w:rsid w:val="00460851"/>
    <w:rsid w:val="00460C10"/>
    <w:rsid w:val="00461CCD"/>
    <w:rsid w:val="004634B5"/>
    <w:rsid w:val="00463A90"/>
    <w:rsid w:val="00464988"/>
    <w:rsid w:val="00464B0D"/>
    <w:rsid w:val="00464CE6"/>
    <w:rsid w:val="004656F7"/>
    <w:rsid w:val="00466483"/>
    <w:rsid w:val="004667AE"/>
    <w:rsid w:val="00470731"/>
    <w:rsid w:val="00470CB3"/>
    <w:rsid w:val="00470EC8"/>
    <w:rsid w:val="00471341"/>
    <w:rsid w:val="0047256A"/>
    <w:rsid w:val="00472C2B"/>
    <w:rsid w:val="004732BE"/>
    <w:rsid w:val="0047359E"/>
    <w:rsid w:val="0047376F"/>
    <w:rsid w:val="00473E21"/>
    <w:rsid w:val="00474001"/>
    <w:rsid w:val="0047431D"/>
    <w:rsid w:val="00474367"/>
    <w:rsid w:val="00474901"/>
    <w:rsid w:val="0047560E"/>
    <w:rsid w:val="00475810"/>
    <w:rsid w:val="00476C81"/>
    <w:rsid w:val="004802AF"/>
    <w:rsid w:val="00480917"/>
    <w:rsid w:val="00480BB3"/>
    <w:rsid w:val="00481BCC"/>
    <w:rsid w:val="0048226C"/>
    <w:rsid w:val="0048397E"/>
    <w:rsid w:val="00483FE3"/>
    <w:rsid w:val="004849FF"/>
    <w:rsid w:val="00484BE9"/>
    <w:rsid w:val="00485572"/>
    <w:rsid w:val="00485A82"/>
    <w:rsid w:val="00490EC7"/>
    <w:rsid w:val="00491271"/>
    <w:rsid w:val="004914EA"/>
    <w:rsid w:val="00492B79"/>
    <w:rsid w:val="00493FC8"/>
    <w:rsid w:val="0049503C"/>
    <w:rsid w:val="0049570B"/>
    <w:rsid w:val="00497831"/>
    <w:rsid w:val="004978A0"/>
    <w:rsid w:val="004A10AD"/>
    <w:rsid w:val="004A12A4"/>
    <w:rsid w:val="004A1538"/>
    <w:rsid w:val="004A1C84"/>
    <w:rsid w:val="004A2F4C"/>
    <w:rsid w:val="004A359B"/>
    <w:rsid w:val="004A3BA2"/>
    <w:rsid w:val="004A3C8E"/>
    <w:rsid w:val="004A4701"/>
    <w:rsid w:val="004A48D4"/>
    <w:rsid w:val="004A4BF9"/>
    <w:rsid w:val="004A517F"/>
    <w:rsid w:val="004A5796"/>
    <w:rsid w:val="004A5DCC"/>
    <w:rsid w:val="004A6363"/>
    <w:rsid w:val="004A6BE7"/>
    <w:rsid w:val="004A6BED"/>
    <w:rsid w:val="004A6D25"/>
    <w:rsid w:val="004A72F0"/>
    <w:rsid w:val="004A74E5"/>
    <w:rsid w:val="004A7D6E"/>
    <w:rsid w:val="004B2B2D"/>
    <w:rsid w:val="004B2FD4"/>
    <w:rsid w:val="004B4117"/>
    <w:rsid w:val="004B4179"/>
    <w:rsid w:val="004B4580"/>
    <w:rsid w:val="004B6360"/>
    <w:rsid w:val="004B6BE2"/>
    <w:rsid w:val="004C06B9"/>
    <w:rsid w:val="004C235D"/>
    <w:rsid w:val="004C23A5"/>
    <w:rsid w:val="004C30BB"/>
    <w:rsid w:val="004C333A"/>
    <w:rsid w:val="004C37E1"/>
    <w:rsid w:val="004C3815"/>
    <w:rsid w:val="004C3A83"/>
    <w:rsid w:val="004C5D23"/>
    <w:rsid w:val="004C721C"/>
    <w:rsid w:val="004C7587"/>
    <w:rsid w:val="004C7DA2"/>
    <w:rsid w:val="004D0072"/>
    <w:rsid w:val="004D0EAC"/>
    <w:rsid w:val="004D0FA9"/>
    <w:rsid w:val="004D139E"/>
    <w:rsid w:val="004D1BF6"/>
    <w:rsid w:val="004D24C4"/>
    <w:rsid w:val="004D32A4"/>
    <w:rsid w:val="004D3EAA"/>
    <w:rsid w:val="004D44BE"/>
    <w:rsid w:val="004D52B5"/>
    <w:rsid w:val="004D55E0"/>
    <w:rsid w:val="004D6891"/>
    <w:rsid w:val="004D6B4F"/>
    <w:rsid w:val="004D705E"/>
    <w:rsid w:val="004D7A41"/>
    <w:rsid w:val="004E05CE"/>
    <w:rsid w:val="004E07FB"/>
    <w:rsid w:val="004E0FAE"/>
    <w:rsid w:val="004E2A7B"/>
    <w:rsid w:val="004E3B28"/>
    <w:rsid w:val="004E3EDF"/>
    <w:rsid w:val="004E4D3D"/>
    <w:rsid w:val="004E583F"/>
    <w:rsid w:val="004E657B"/>
    <w:rsid w:val="004E7730"/>
    <w:rsid w:val="004E786E"/>
    <w:rsid w:val="004E78C6"/>
    <w:rsid w:val="004E7FEB"/>
    <w:rsid w:val="004F0F56"/>
    <w:rsid w:val="004F1550"/>
    <w:rsid w:val="004F4C49"/>
    <w:rsid w:val="004F569F"/>
    <w:rsid w:val="004F56E4"/>
    <w:rsid w:val="004F5FA9"/>
    <w:rsid w:val="004F73C3"/>
    <w:rsid w:val="004F7A84"/>
    <w:rsid w:val="004F7B38"/>
    <w:rsid w:val="00500AA2"/>
    <w:rsid w:val="005013AC"/>
    <w:rsid w:val="005025DE"/>
    <w:rsid w:val="0050313A"/>
    <w:rsid w:val="00503700"/>
    <w:rsid w:val="00503FBC"/>
    <w:rsid w:val="00506002"/>
    <w:rsid w:val="0050620D"/>
    <w:rsid w:val="00506A44"/>
    <w:rsid w:val="00506A5F"/>
    <w:rsid w:val="00506E9C"/>
    <w:rsid w:val="0050731A"/>
    <w:rsid w:val="005076D7"/>
    <w:rsid w:val="005101B2"/>
    <w:rsid w:val="00510310"/>
    <w:rsid w:val="00510399"/>
    <w:rsid w:val="00511C17"/>
    <w:rsid w:val="0051241E"/>
    <w:rsid w:val="005125FD"/>
    <w:rsid w:val="00512A01"/>
    <w:rsid w:val="00512F1B"/>
    <w:rsid w:val="0051399F"/>
    <w:rsid w:val="005155F7"/>
    <w:rsid w:val="0051599E"/>
    <w:rsid w:val="005163E1"/>
    <w:rsid w:val="00516829"/>
    <w:rsid w:val="00520523"/>
    <w:rsid w:val="005218BA"/>
    <w:rsid w:val="005226BA"/>
    <w:rsid w:val="00522988"/>
    <w:rsid w:val="00522C6F"/>
    <w:rsid w:val="00523108"/>
    <w:rsid w:val="005234F3"/>
    <w:rsid w:val="00523ED3"/>
    <w:rsid w:val="00524B02"/>
    <w:rsid w:val="005257BB"/>
    <w:rsid w:val="00526649"/>
    <w:rsid w:val="00526C62"/>
    <w:rsid w:val="005305F1"/>
    <w:rsid w:val="00534747"/>
    <w:rsid w:val="00534814"/>
    <w:rsid w:val="00534F6B"/>
    <w:rsid w:val="005350BC"/>
    <w:rsid w:val="00535A33"/>
    <w:rsid w:val="005360BE"/>
    <w:rsid w:val="00537072"/>
    <w:rsid w:val="00537D5A"/>
    <w:rsid w:val="005400FC"/>
    <w:rsid w:val="00540942"/>
    <w:rsid w:val="00540D60"/>
    <w:rsid w:val="00540FF9"/>
    <w:rsid w:val="00541068"/>
    <w:rsid w:val="00541121"/>
    <w:rsid w:val="00541B06"/>
    <w:rsid w:val="00542483"/>
    <w:rsid w:val="0054288D"/>
    <w:rsid w:val="005429A5"/>
    <w:rsid w:val="005430F8"/>
    <w:rsid w:val="0054310A"/>
    <w:rsid w:val="00543A39"/>
    <w:rsid w:val="00543EBD"/>
    <w:rsid w:val="005440CE"/>
    <w:rsid w:val="0054481F"/>
    <w:rsid w:val="00544B1C"/>
    <w:rsid w:val="00544F64"/>
    <w:rsid w:val="005450F2"/>
    <w:rsid w:val="0054526C"/>
    <w:rsid w:val="0054529A"/>
    <w:rsid w:val="00545455"/>
    <w:rsid w:val="00545465"/>
    <w:rsid w:val="0054580D"/>
    <w:rsid w:val="005462C4"/>
    <w:rsid w:val="00546433"/>
    <w:rsid w:val="00546506"/>
    <w:rsid w:val="00546920"/>
    <w:rsid w:val="005469F1"/>
    <w:rsid w:val="00546D10"/>
    <w:rsid w:val="00546ED6"/>
    <w:rsid w:val="00550450"/>
    <w:rsid w:val="0055113A"/>
    <w:rsid w:val="00551294"/>
    <w:rsid w:val="005525A9"/>
    <w:rsid w:val="00552A21"/>
    <w:rsid w:val="00552C46"/>
    <w:rsid w:val="005530E2"/>
    <w:rsid w:val="00553177"/>
    <w:rsid w:val="0055459D"/>
    <w:rsid w:val="00554748"/>
    <w:rsid w:val="00555BEE"/>
    <w:rsid w:val="00556B9F"/>
    <w:rsid w:val="00557D9A"/>
    <w:rsid w:val="00561341"/>
    <w:rsid w:val="005619C8"/>
    <w:rsid w:val="00561C71"/>
    <w:rsid w:val="00562F25"/>
    <w:rsid w:val="00563015"/>
    <w:rsid w:val="00563EF8"/>
    <w:rsid w:val="00564ED8"/>
    <w:rsid w:val="00565380"/>
    <w:rsid w:val="0056545C"/>
    <w:rsid w:val="005660D6"/>
    <w:rsid w:val="005661D3"/>
    <w:rsid w:val="00566882"/>
    <w:rsid w:val="00567B03"/>
    <w:rsid w:val="00567E86"/>
    <w:rsid w:val="0057061D"/>
    <w:rsid w:val="00570790"/>
    <w:rsid w:val="00571754"/>
    <w:rsid w:val="00571C4A"/>
    <w:rsid w:val="00571E4C"/>
    <w:rsid w:val="00573007"/>
    <w:rsid w:val="00573822"/>
    <w:rsid w:val="005774F5"/>
    <w:rsid w:val="0057772E"/>
    <w:rsid w:val="00581CA1"/>
    <w:rsid w:val="005824D9"/>
    <w:rsid w:val="00583960"/>
    <w:rsid w:val="005843F8"/>
    <w:rsid w:val="00584983"/>
    <w:rsid w:val="00584C00"/>
    <w:rsid w:val="005862C1"/>
    <w:rsid w:val="005869C5"/>
    <w:rsid w:val="00586BB6"/>
    <w:rsid w:val="0058715F"/>
    <w:rsid w:val="005874F7"/>
    <w:rsid w:val="005879BE"/>
    <w:rsid w:val="00591839"/>
    <w:rsid w:val="005919BA"/>
    <w:rsid w:val="00591B8A"/>
    <w:rsid w:val="00591E34"/>
    <w:rsid w:val="00592158"/>
    <w:rsid w:val="00592B10"/>
    <w:rsid w:val="005939D5"/>
    <w:rsid w:val="00594234"/>
    <w:rsid w:val="0059470C"/>
    <w:rsid w:val="005976E2"/>
    <w:rsid w:val="00597F10"/>
    <w:rsid w:val="005A0954"/>
    <w:rsid w:val="005A0E15"/>
    <w:rsid w:val="005A0E85"/>
    <w:rsid w:val="005A12BB"/>
    <w:rsid w:val="005A151E"/>
    <w:rsid w:val="005A282E"/>
    <w:rsid w:val="005A54CF"/>
    <w:rsid w:val="005A6545"/>
    <w:rsid w:val="005A7B26"/>
    <w:rsid w:val="005A7CDA"/>
    <w:rsid w:val="005B02CF"/>
    <w:rsid w:val="005B0D10"/>
    <w:rsid w:val="005B2211"/>
    <w:rsid w:val="005B25C1"/>
    <w:rsid w:val="005B3175"/>
    <w:rsid w:val="005B4149"/>
    <w:rsid w:val="005B4652"/>
    <w:rsid w:val="005B4A8C"/>
    <w:rsid w:val="005B4F9B"/>
    <w:rsid w:val="005B5B6B"/>
    <w:rsid w:val="005B5F5A"/>
    <w:rsid w:val="005B633C"/>
    <w:rsid w:val="005B6AD5"/>
    <w:rsid w:val="005B7668"/>
    <w:rsid w:val="005C0667"/>
    <w:rsid w:val="005C0981"/>
    <w:rsid w:val="005C1F6B"/>
    <w:rsid w:val="005C1F8C"/>
    <w:rsid w:val="005C54BA"/>
    <w:rsid w:val="005C57EE"/>
    <w:rsid w:val="005C666B"/>
    <w:rsid w:val="005C6A78"/>
    <w:rsid w:val="005D0358"/>
    <w:rsid w:val="005D19B7"/>
    <w:rsid w:val="005D2528"/>
    <w:rsid w:val="005D385D"/>
    <w:rsid w:val="005D4037"/>
    <w:rsid w:val="005D4770"/>
    <w:rsid w:val="005D4957"/>
    <w:rsid w:val="005D4B1E"/>
    <w:rsid w:val="005D651B"/>
    <w:rsid w:val="005D7020"/>
    <w:rsid w:val="005D7AD0"/>
    <w:rsid w:val="005E01F5"/>
    <w:rsid w:val="005E0902"/>
    <w:rsid w:val="005E0E14"/>
    <w:rsid w:val="005E0FDC"/>
    <w:rsid w:val="005E13AE"/>
    <w:rsid w:val="005E1B25"/>
    <w:rsid w:val="005E27F2"/>
    <w:rsid w:val="005E35BF"/>
    <w:rsid w:val="005E53E8"/>
    <w:rsid w:val="005E5495"/>
    <w:rsid w:val="005E56A8"/>
    <w:rsid w:val="005E5E69"/>
    <w:rsid w:val="005E7561"/>
    <w:rsid w:val="005F2C66"/>
    <w:rsid w:val="005F4606"/>
    <w:rsid w:val="005F49AD"/>
    <w:rsid w:val="005F49E2"/>
    <w:rsid w:val="005F57ED"/>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6569"/>
    <w:rsid w:val="00607A55"/>
    <w:rsid w:val="006106F6"/>
    <w:rsid w:val="006107BA"/>
    <w:rsid w:val="00610F5A"/>
    <w:rsid w:val="00610F79"/>
    <w:rsid w:val="00611901"/>
    <w:rsid w:val="00612779"/>
    <w:rsid w:val="00612EC5"/>
    <w:rsid w:val="0061477E"/>
    <w:rsid w:val="00615CF9"/>
    <w:rsid w:val="0061704A"/>
    <w:rsid w:val="006170E9"/>
    <w:rsid w:val="0061786D"/>
    <w:rsid w:val="0062007A"/>
    <w:rsid w:val="00620AB4"/>
    <w:rsid w:val="00621030"/>
    <w:rsid w:val="006213DF"/>
    <w:rsid w:val="00621565"/>
    <w:rsid w:val="00621C2B"/>
    <w:rsid w:val="00621F24"/>
    <w:rsid w:val="00622F37"/>
    <w:rsid w:val="0062388E"/>
    <w:rsid w:val="00624F75"/>
    <w:rsid w:val="00625B61"/>
    <w:rsid w:val="00625F96"/>
    <w:rsid w:val="00627838"/>
    <w:rsid w:val="00627AE9"/>
    <w:rsid w:val="00627CFA"/>
    <w:rsid w:val="00631818"/>
    <w:rsid w:val="00631AFE"/>
    <w:rsid w:val="0063308F"/>
    <w:rsid w:val="006346E7"/>
    <w:rsid w:val="00634B96"/>
    <w:rsid w:val="0063688C"/>
    <w:rsid w:val="00636EFA"/>
    <w:rsid w:val="0063701E"/>
    <w:rsid w:val="00637654"/>
    <w:rsid w:val="006402E8"/>
    <w:rsid w:val="00640764"/>
    <w:rsid w:val="006410F0"/>
    <w:rsid w:val="00641652"/>
    <w:rsid w:val="00642508"/>
    <w:rsid w:val="00642538"/>
    <w:rsid w:val="006429D7"/>
    <w:rsid w:val="00642EAB"/>
    <w:rsid w:val="006442C9"/>
    <w:rsid w:val="00645255"/>
    <w:rsid w:val="006457AE"/>
    <w:rsid w:val="006466D1"/>
    <w:rsid w:val="00646A9D"/>
    <w:rsid w:val="00647931"/>
    <w:rsid w:val="00647AC3"/>
    <w:rsid w:val="00647BDD"/>
    <w:rsid w:val="006507E2"/>
    <w:rsid w:val="00650AD0"/>
    <w:rsid w:val="006511A8"/>
    <w:rsid w:val="006512D9"/>
    <w:rsid w:val="006519B5"/>
    <w:rsid w:val="00651CF7"/>
    <w:rsid w:val="00651DEC"/>
    <w:rsid w:val="006520E0"/>
    <w:rsid w:val="0065262E"/>
    <w:rsid w:val="00652D17"/>
    <w:rsid w:val="00654040"/>
    <w:rsid w:val="00655026"/>
    <w:rsid w:val="00655356"/>
    <w:rsid w:val="006553F3"/>
    <w:rsid w:val="006556B7"/>
    <w:rsid w:val="00660510"/>
    <w:rsid w:val="00660696"/>
    <w:rsid w:val="00660F7A"/>
    <w:rsid w:val="006622BF"/>
    <w:rsid w:val="00662787"/>
    <w:rsid w:val="00662CEE"/>
    <w:rsid w:val="00663B18"/>
    <w:rsid w:val="00664D9D"/>
    <w:rsid w:val="00664EF5"/>
    <w:rsid w:val="00666861"/>
    <w:rsid w:val="006669BE"/>
    <w:rsid w:val="006679E9"/>
    <w:rsid w:val="00667EEA"/>
    <w:rsid w:val="00670D37"/>
    <w:rsid w:val="00671E77"/>
    <w:rsid w:val="006725CA"/>
    <w:rsid w:val="00672BC1"/>
    <w:rsid w:val="00672F52"/>
    <w:rsid w:val="00673383"/>
    <w:rsid w:val="00673437"/>
    <w:rsid w:val="00673BD4"/>
    <w:rsid w:val="00674640"/>
    <w:rsid w:val="00675624"/>
    <w:rsid w:val="006763A6"/>
    <w:rsid w:val="00677D35"/>
    <w:rsid w:val="00677DE5"/>
    <w:rsid w:val="006802FC"/>
    <w:rsid w:val="006807CD"/>
    <w:rsid w:val="00680920"/>
    <w:rsid w:val="00680FA4"/>
    <w:rsid w:val="0068152B"/>
    <w:rsid w:val="00681A5D"/>
    <w:rsid w:val="0068201E"/>
    <w:rsid w:val="0068270C"/>
    <w:rsid w:val="006829D1"/>
    <w:rsid w:val="00683D04"/>
    <w:rsid w:val="00684B41"/>
    <w:rsid w:val="00686011"/>
    <w:rsid w:val="006870AC"/>
    <w:rsid w:val="00687462"/>
    <w:rsid w:val="00687B06"/>
    <w:rsid w:val="00687BA1"/>
    <w:rsid w:val="006906A9"/>
    <w:rsid w:val="00690F79"/>
    <w:rsid w:val="00691793"/>
    <w:rsid w:val="00691B08"/>
    <w:rsid w:val="0069247C"/>
    <w:rsid w:val="00692AE6"/>
    <w:rsid w:val="00693930"/>
    <w:rsid w:val="00693E8E"/>
    <w:rsid w:val="00695106"/>
    <w:rsid w:val="006951BF"/>
    <w:rsid w:val="00696CB8"/>
    <w:rsid w:val="006973DE"/>
    <w:rsid w:val="00697D90"/>
    <w:rsid w:val="006A0687"/>
    <w:rsid w:val="006A0CA6"/>
    <w:rsid w:val="006A12FF"/>
    <w:rsid w:val="006A2390"/>
    <w:rsid w:val="006A3389"/>
    <w:rsid w:val="006A45C8"/>
    <w:rsid w:val="006A4980"/>
    <w:rsid w:val="006A5653"/>
    <w:rsid w:val="006A59FA"/>
    <w:rsid w:val="006A7372"/>
    <w:rsid w:val="006A7957"/>
    <w:rsid w:val="006A79CD"/>
    <w:rsid w:val="006B04EB"/>
    <w:rsid w:val="006B156F"/>
    <w:rsid w:val="006B1648"/>
    <w:rsid w:val="006B1DE3"/>
    <w:rsid w:val="006B3ED0"/>
    <w:rsid w:val="006B444A"/>
    <w:rsid w:val="006B4553"/>
    <w:rsid w:val="006B5062"/>
    <w:rsid w:val="006B5426"/>
    <w:rsid w:val="006B5BD2"/>
    <w:rsid w:val="006B654A"/>
    <w:rsid w:val="006B7A13"/>
    <w:rsid w:val="006C09E0"/>
    <w:rsid w:val="006C1170"/>
    <w:rsid w:val="006C1398"/>
    <w:rsid w:val="006C22EB"/>
    <w:rsid w:val="006C3075"/>
    <w:rsid w:val="006C335F"/>
    <w:rsid w:val="006C439D"/>
    <w:rsid w:val="006C6EF2"/>
    <w:rsid w:val="006C71C5"/>
    <w:rsid w:val="006C76F3"/>
    <w:rsid w:val="006D044D"/>
    <w:rsid w:val="006D06B5"/>
    <w:rsid w:val="006D3DEF"/>
    <w:rsid w:val="006D474F"/>
    <w:rsid w:val="006D4BED"/>
    <w:rsid w:val="006D50A4"/>
    <w:rsid w:val="006D5225"/>
    <w:rsid w:val="006D5227"/>
    <w:rsid w:val="006D5A4E"/>
    <w:rsid w:val="006D6094"/>
    <w:rsid w:val="006D75A3"/>
    <w:rsid w:val="006E1178"/>
    <w:rsid w:val="006E155F"/>
    <w:rsid w:val="006E1915"/>
    <w:rsid w:val="006E2098"/>
    <w:rsid w:val="006E2A71"/>
    <w:rsid w:val="006E2E30"/>
    <w:rsid w:val="006E30B9"/>
    <w:rsid w:val="006E3782"/>
    <w:rsid w:val="006E3F6B"/>
    <w:rsid w:val="006E59EC"/>
    <w:rsid w:val="006E5FAA"/>
    <w:rsid w:val="006E6389"/>
    <w:rsid w:val="006E64F4"/>
    <w:rsid w:val="006E6600"/>
    <w:rsid w:val="006E777C"/>
    <w:rsid w:val="006E7F26"/>
    <w:rsid w:val="006F06CB"/>
    <w:rsid w:val="006F08C3"/>
    <w:rsid w:val="006F0F2D"/>
    <w:rsid w:val="006F1478"/>
    <w:rsid w:val="006F1C50"/>
    <w:rsid w:val="006F2AA0"/>
    <w:rsid w:val="006F2B79"/>
    <w:rsid w:val="006F35F8"/>
    <w:rsid w:val="006F3AB8"/>
    <w:rsid w:val="006F4F43"/>
    <w:rsid w:val="006F528A"/>
    <w:rsid w:val="006F6430"/>
    <w:rsid w:val="006F765A"/>
    <w:rsid w:val="006F7FA4"/>
    <w:rsid w:val="00700535"/>
    <w:rsid w:val="00701073"/>
    <w:rsid w:val="00701A20"/>
    <w:rsid w:val="007023D8"/>
    <w:rsid w:val="007028C5"/>
    <w:rsid w:val="00702EDB"/>
    <w:rsid w:val="007035FE"/>
    <w:rsid w:val="00703CCD"/>
    <w:rsid w:val="007040E8"/>
    <w:rsid w:val="00705F0B"/>
    <w:rsid w:val="007060E2"/>
    <w:rsid w:val="00706883"/>
    <w:rsid w:val="007069ED"/>
    <w:rsid w:val="00706F7F"/>
    <w:rsid w:val="00707622"/>
    <w:rsid w:val="00707EE7"/>
    <w:rsid w:val="00710DB0"/>
    <w:rsid w:val="007119AA"/>
    <w:rsid w:val="00712197"/>
    <w:rsid w:val="007124B9"/>
    <w:rsid w:val="0071375D"/>
    <w:rsid w:val="00714090"/>
    <w:rsid w:val="00714D01"/>
    <w:rsid w:val="00715AA1"/>
    <w:rsid w:val="00715E12"/>
    <w:rsid w:val="00716001"/>
    <w:rsid w:val="0071633E"/>
    <w:rsid w:val="007175C6"/>
    <w:rsid w:val="007179D4"/>
    <w:rsid w:val="0072023C"/>
    <w:rsid w:val="007208C6"/>
    <w:rsid w:val="00720B86"/>
    <w:rsid w:val="00720C3B"/>
    <w:rsid w:val="00720EFE"/>
    <w:rsid w:val="00722F36"/>
    <w:rsid w:val="00723989"/>
    <w:rsid w:val="00723AC9"/>
    <w:rsid w:val="0072472D"/>
    <w:rsid w:val="00725132"/>
    <w:rsid w:val="00725EAD"/>
    <w:rsid w:val="00725F6A"/>
    <w:rsid w:val="007269A2"/>
    <w:rsid w:val="00727E0B"/>
    <w:rsid w:val="00730072"/>
    <w:rsid w:val="00730704"/>
    <w:rsid w:val="007312C0"/>
    <w:rsid w:val="00731E91"/>
    <w:rsid w:val="00732314"/>
    <w:rsid w:val="00732B3E"/>
    <w:rsid w:val="00732D37"/>
    <w:rsid w:val="00732FEB"/>
    <w:rsid w:val="0073385E"/>
    <w:rsid w:val="00733A88"/>
    <w:rsid w:val="007340D3"/>
    <w:rsid w:val="00734939"/>
    <w:rsid w:val="0073775B"/>
    <w:rsid w:val="00737CCA"/>
    <w:rsid w:val="007402AD"/>
    <w:rsid w:val="00740DA2"/>
    <w:rsid w:val="007410C8"/>
    <w:rsid w:val="00742068"/>
    <w:rsid w:val="007421E9"/>
    <w:rsid w:val="007424CE"/>
    <w:rsid w:val="00743775"/>
    <w:rsid w:val="00743C0E"/>
    <w:rsid w:val="00743F36"/>
    <w:rsid w:val="007444C5"/>
    <w:rsid w:val="00744732"/>
    <w:rsid w:val="00745760"/>
    <w:rsid w:val="00745BAF"/>
    <w:rsid w:val="00747AF0"/>
    <w:rsid w:val="0075221F"/>
    <w:rsid w:val="00752694"/>
    <w:rsid w:val="0075343D"/>
    <w:rsid w:val="00755C66"/>
    <w:rsid w:val="00755CF4"/>
    <w:rsid w:val="007571E9"/>
    <w:rsid w:val="00757445"/>
    <w:rsid w:val="00757534"/>
    <w:rsid w:val="007577FA"/>
    <w:rsid w:val="007578CC"/>
    <w:rsid w:val="007600E3"/>
    <w:rsid w:val="00761754"/>
    <w:rsid w:val="00761AA5"/>
    <w:rsid w:val="00762374"/>
    <w:rsid w:val="00762676"/>
    <w:rsid w:val="00762756"/>
    <w:rsid w:val="00762F37"/>
    <w:rsid w:val="00764944"/>
    <w:rsid w:val="00764B84"/>
    <w:rsid w:val="00764DAE"/>
    <w:rsid w:val="00766598"/>
    <w:rsid w:val="00767140"/>
    <w:rsid w:val="00767E3C"/>
    <w:rsid w:val="00770B79"/>
    <w:rsid w:val="00772CE0"/>
    <w:rsid w:val="00773CCD"/>
    <w:rsid w:val="00774567"/>
    <w:rsid w:val="007758D2"/>
    <w:rsid w:val="00775CB5"/>
    <w:rsid w:val="007762DB"/>
    <w:rsid w:val="0077698B"/>
    <w:rsid w:val="007773C1"/>
    <w:rsid w:val="00777BB8"/>
    <w:rsid w:val="0078065E"/>
    <w:rsid w:val="00781BD9"/>
    <w:rsid w:val="00781EA5"/>
    <w:rsid w:val="00783886"/>
    <w:rsid w:val="00783991"/>
    <w:rsid w:val="00784295"/>
    <w:rsid w:val="007842B1"/>
    <w:rsid w:val="007844F4"/>
    <w:rsid w:val="0078453D"/>
    <w:rsid w:val="0078479C"/>
    <w:rsid w:val="0078525E"/>
    <w:rsid w:val="00785675"/>
    <w:rsid w:val="00785CC0"/>
    <w:rsid w:val="00785D81"/>
    <w:rsid w:val="007866CF"/>
    <w:rsid w:val="007905C6"/>
    <w:rsid w:val="007912C3"/>
    <w:rsid w:val="00791CEC"/>
    <w:rsid w:val="00793DED"/>
    <w:rsid w:val="00794BC1"/>
    <w:rsid w:val="0079573A"/>
    <w:rsid w:val="00795854"/>
    <w:rsid w:val="00795858"/>
    <w:rsid w:val="007964C9"/>
    <w:rsid w:val="007967B7"/>
    <w:rsid w:val="00797CD5"/>
    <w:rsid w:val="007A0E45"/>
    <w:rsid w:val="007A1DC6"/>
    <w:rsid w:val="007A1FE0"/>
    <w:rsid w:val="007A2EAF"/>
    <w:rsid w:val="007A33A6"/>
    <w:rsid w:val="007A3874"/>
    <w:rsid w:val="007A3AA5"/>
    <w:rsid w:val="007A4E37"/>
    <w:rsid w:val="007A59AF"/>
    <w:rsid w:val="007A62A3"/>
    <w:rsid w:val="007A7988"/>
    <w:rsid w:val="007B022C"/>
    <w:rsid w:val="007B0A1F"/>
    <w:rsid w:val="007B151A"/>
    <w:rsid w:val="007B2218"/>
    <w:rsid w:val="007B397B"/>
    <w:rsid w:val="007B4B11"/>
    <w:rsid w:val="007B4B71"/>
    <w:rsid w:val="007B5431"/>
    <w:rsid w:val="007B55E4"/>
    <w:rsid w:val="007B59D0"/>
    <w:rsid w:val="007B5DBF"/>
    <w:rsid w:val="007B65C9"/>
    <w:rsid w:val="007B7633"/>
    <w:rsid w:val="007B7993"/>
    <w:rsid w:val="007C03A1"/>
    <w:rsid w:val="007C18A5"/>
    <w:rsid w:val="007C2643"/>
    <w:rsid w:val="007C2AAF"/>
    <w:rsid w:val="007C2C6C"/>
    <w:rsid w:val="007C324C"/>
    <w:rsid w:val="007C33C9"/>
    <w:rsid w:val="007C38CB"/>
    <w:rsid w:val="007C4FC9"/>
    <w:rsid w:val="007C50D0"/>
    <w:rsid w:val="007C5FC4"/>
    <w:rsid w:val="007C63A3"/>
    <w:rsid w:val="007C6AEA"/>
    <w:rsid w:val="007D17D0"/>
    <w:rsid w:val="007D1D5E"/>
    <w:rsid w:val="007D2DB2"/>
    <w:rsid w:val="007D30A5"/>
    <w:rsid w:val="007D3AC8"/>
    <w:rsid w:val="007D3DC2"/>
    <w:rsid w:val="007D4597"/>
    <w:rsid w:val="007D4BE8"/>
    <w:rsid w:val="007D4CAF"/>
    <w:rsid w:val="007D4EDD"/>
    <w:rsid w:val="007D598E"/>
    <w:rsid w:val="007D5B15"/>
    <w:rsid w:val="007D67C8"/>
    <w:rsid w:val="007D6DAB"/>
    <w:rsid w:val="007D71EE"/>
    <w:rsid w:val="007D73F0"/>
    <w:rsid w:val="007D790B"/>
    <w:rsid w:val="007D7F56"/>
    <w:rsid w:val="007E0B5C"/>
    <w:rsid w:val="007E0D9B"/>
    <w:rsid w:val="007E3782"/>
    <w:rsid w:val="007E4552"/>
    <w:rsid w:val="007E46C8"/>
    <w:rsid w:val="007E47BB"/>
    <w:rsid w:val="007E48DB"/>
    <w:rsid w:val="007E50C0"/>
    <w:rsid w:val="007E50F6"/>
    <w:rsid w:val="007E564B"/>
    <w:rsid w:val="007E63F5"/>
    <w:rsid w:val="007E6624"/>
    <w:rsid w:val="007E6BA6"/>
    <w:rsid w:val="007F0043"/>
    <w:rsid w:val="007F10C2"/>
    <w:rsid w:val="007F1374"/>
    <w:rsid w:val="007F153D"/>
    <w:rsid w:val="007F1E19"/>
    <w:rsid w:val="007F21F8"/>
    <w:rsid w:val="007F31AC"/>
    <w:rsid w:val="007F3A50"/>
    <w:rsid w:val="007F56A4"/>
    <w:rsid w:val="007F57D0"/>
    <w:rsid w:val="007F58C0"/>
    <w:rsid w:val="007F645B"/>
    <w:rsid w:val="007F7826"/>
    <w:rsid w:val="007F7A97"/>
    <w:rsid w:val="00800BBE"/>
    <w:rsid w:val="00800C44"/>
    <w:rsid w:val="00801813"/>
    <w:rsid w:val="00802062"/>
    <w:rsid w:val="008022D7"/>
    <w:rsid w:val="00802692"/>
    <w:rsid w:val="00802EAE"/>
    <w:rsid w:val="00802F56"/>
    <w:rsid w:val="00803E61"/>
    <w:rsid w:val="00804195"/>
    <w:rsid w:val="00804D7C"/>
    <w:rsid w:val="00804DAF"/>
    <w:rsid w:val="008052DF"/>
    <w:rsid w:val="00805749"/>
    <w:rsid w:val="00805B66"/>
    <w:rsid w:val="008069E8"/>
    <w:rsid w:val="00806A28"/>
    <w:rsid w:val="00806D1F"/>
    <w:rsid w:val="008078B2"/>
    <w:rsid w:val="00807E15"/>
    <w:rsid w:val="00807F1D"/>
    <w:rsid w:val="008102CA"/>
    <w:rsid w:val="00810B32"/>
    <w:rsid w:val="00810D6F"/>
    <w:rsid w:val="00811C97"/>
    <w:rsid w:val="0081206A"/>
    <w:rsid w:val="008124ED"/>
    <w:rsid w:val="008145BD"/>
    <w:rsid w:val="00815269"/>
    <w:rsid w:val="00815FED"/>
    <w:rsid w:val="00816431"/>
    <w:rsid w:val="00816841"/>
    <w:rsid w:val="0082055F"/>
    <w:rsid w:val="00820AB7"/>
    <w:rsid w:val="008212D6"/>
    <w:rsid w:val="00821F4A"/>
    <w:rsid w:val="00822431"/>
    <w:rsid w:val="00823289"/>
    <w:rsid w:val="00823BC8"/>
    <w:rsid w:val="00825B33"/>
    <w:rsid w:val="0082641F"/>
    <w:rsid w:val="0082687B"/>
    <w:rsid w:val="00827C11"/>
    <w:rsid w:val="00830B47"/>
    <w:rsid w:val="00830BCB"/>
    <w:rsid w:val="00830C64"/>
    <w:rsid w:val="0083123F"/>
    <w:rsid w:val="00831743"/>
    <w:rsid w:val="0083183E"/>
    <w:rsid w:val="00832149"/>
    <w:rsid w:val="0083246E"/>
    <w:rsid w:val="00832FD5"/>
    <w:rsid w:val="00833464"/>
    <w:rsid w:val="008337B3"/>
    <w:rsid w:val="00833855"/>
    <w:rsid w:val="00834044"/>
    <w:rsid w:val="0083714D"/>
    <w:rsid w:val="00837D1A"/>
    <w:rsid w:val="00840ADF"/>
    <w:rsid w:val="00840C23"/>
    <w:rsid w:val="00842987"/>
    <w:rsid w:val="00843F4A"/>
    <w:rsid w:val="008444CC"/>
    <w:rsid w:val="0084461F"/>
    <w:rsid w:val="00844EFC"/>
    <w:rsid w:val="00845568"/>
    <w:rsid w:val="00846947"/>
    <w:rsid w:val="00846E61"/>
    <w:rsid w:val="0084764A"/>
    <w:rsid w:val="00847A48"/>
    <w:rsid w:val="00847B5A"/>
    <w:rsid w:val="00847CEC"/>
    <w:rsid w:val="00847E5F"/>
    <w:rsid w:val="008506CB"/>
    <w:rsid w:val="00851F0E"/>
    <w:rsid w:val="008526BF"/>
    <w:rsid w:val="008528EF"/>
    <w:rsid w:val="0085358E"/>
    <w:rsid w:val="00854FA2"/>
    <w:rsid w:val="008551DD"/>
    <w:rsid w:val="00855220"/>
    <w:rsid w:val="00855A33"/>
    <w:rsid w:val="008560F3"/>
    <w:rsid w:val="0085642E"/>
    <w:rsid w:val="00856F4C"/>
    <w:rsid w:val="00857B7E"/>
    <w:rsid w:val="00860402"/>
    <w:rsid w:val="008606C2"/>
    <w:rsid w:val="00863A1B"/>
    <w:rsid w:val="008653B0"/>
    <w:rsid w:val="00867210"/>
    <w:rsid w:val="00867401"/>
    <w:rsid w:val="008679E5"/>
    <w:rsid w:val="00867E83"/>
    <w:rsid w:val="0087112D"/>
    <w:rsid w:val="00872029"/>
    <w:rsid w:val="00872ADF"/>
    <w:rsid w:val="008730D8"/>
    <w:rsid w:val="00875D74"/>
    <w:rsid w:val="0087670C"/>
    <w:rsid w:val="00877D16"/>
    <w:rsid w:val="00877F6F"/>
    <w:rsid w:val="00880444"/>
    <w:rsid w:val="00880B91"/>
    <w:rsid w:val="0088122D"/>
    <w:rsid w:val="00882142"/>
    <w:rsid w:val="00882B2B"/>
    <w:rsid w:val="00882CDE"/>
    <w:rsid w:val="008830FD"/>
    <w:rsid w:val="0088344C"/>
    <w:rsid w:val="0088392A"/>
    <w:rsid w:val="008872BF"/>
    <w:rsid w:val="00890FF9"/>
    <w:rsid w:val="00891021"/>
    <w:rsid w:val="00891350"/>
    <w:rsid w:val="008914FF"/>
    <w:rsid w:val="00891F99"/>
    <w:rsid w:val="008923C7"/>
    <w:rsid w:val="008926C3"/>
    <w:rsid w:val="00892B2F"/>
    <w:rsid w:val="00892CFB"/>
    <w:rsid w:val="00893827"/>
    <w:rsid w:val="00894443"/>
    <w:rsid w:val="00894AF9"/>
    <w:rsid w:val="00895438"/>
    <w:rsid w:val="00895A8E"/>
    <w:rsid w:val="00897429"/>
    <w:rsid w:val="00897650"/>
    <w:rsid w:val="008A0868"/>
    <w:rsid w:val="008A0A13"/>
    <w:rsid w:val="008A1747"/>
    <w:rsid w:val="008A17F5"/>
    <w:rsid w:val="008A2558"/>
    <w:rsid w:val="008A2E88"/>
    <w:rsid w:val="008A4857"/>
    <w:rsid w:val="008A52A9"/>
    <w:rsid w:val="008A5383"/>
    <w:rsid w:val="008A6218"/>
    <w:rsid w:val="008A6431"/>
    <w:rsid w:val="008A6FFD"/>
    <w:rsid w:val="008A7676"/>
    <w:rsid w:val="008A7964"/>
    <w:rsid w:val="008B0166"/>
    <w:rsid w:val="008B0C8E"/>
    <w:rsid w:val="008B0EB3"/>
    <w:rsid w:val="008B1790"/>
    <w:rsid w:val="008B36FB"/>
    <w:rsid w:val="008B630E"/>
    <w:rsid w:val="008B6B88"/>
    <w:rsid w:val="008B6EAB"/>
    <w:rsid w:val="008B7C83"/>
    <w:rsid w:val="008C034D"/>
    <w:rsid w:val="008C3AC7"/>
    <w:rsid w:val="008C4DF4"/>
    <w:rsid w:val="008C50C8"/>
    <w:rsid w:val="008C5137"/>
    <w:rsid w:val="008C58EC"/>
    <w:rsid w:val="008C6A58"/>
    <w:rsid w:val="008C6ADC"/>
    <w:rsid w:val="008C6FBD"/>
    <w:rsid w:val="008C7A5C"/>
    <w:rsid w:val="008C7CAA"/>
    <w:rsid w:val="008D10E1"/>
    <w:rsid w:val="008D13A4"/>
    <w:rsid w:val="008D3998"/>
    <w:rsid w:val="008D40DC"/>
    <w:rsid w:val="008D4A07"/>
    <w:rsid w:val="008D4E78"/>
    <w:rsid w:val="008D5361"/>
    <w:rsid w:val="008D5788"/>
    <w:rsid w:val="008D7A61"/>
    <w:rsid w:val="008E00C4"/>
    <w:rsid w:val="008E0235"/>
    <w:rsid w:val="008E16C9"/>
    <w:rsid w:val="008E173B"/>
    <w:rsid w:val="008E193E"/>
    <w:rsid w:val="008E2077"/>
    <w:rsid w:val="008E2095"/>
    <w:rsid w:val="008E3DC5"/>
    <w:rsid w:val="008E469B"/>
    <w:rsid w:val="008E5207"/>
    <w:rsid w:val="008E55B2"/>
    <w:rsid w:val="008E5AFD"/>
    <w:rsid w:val="008E62DB"/>
    <w:rsid w:val="008E7D35"/>
    <w:rsid w:val="008F0079"/>
    <w:rsid w:val="008F0736"/>
    <w:rsid w:val="008F0CBD"/>
    <w:rsid w:val="008F0ECB"/>
    <w:rsid w:val="008F2748"/>
    <w:rsid w:val="008F2989"/>
    <w:rsid w:val="008F40EA"/>
    <w:rsid w:val="008F58B2"/>
    <w:rsid w:val="008F662D"/>
    <w:rsid w:val="008F6F61"/>
    <w:rsid w:val="008F758F"/>
    <w:rsid w:val="008F7590"/>
    <w:rsid w:val="009002AE"/>
    <w:rsid w:val="00900ECE"/>
    <w:rsid w:val="009013D9"/>
    <w:rsid w:val="00901E1F"/>
    <w:rsid w:val="00902C90"/>
    <w:rsid w:val="00903AF2"/>
    <w:rsid w:val="00903E2B"/>
    <w:rsid w:val="0090409F"/>
    <w:rsid w:val="009045EA"/>
    <w:rsid w:val="00905BEB"/>
    <w:rsid w:val="009062B1"/>
    <w:rsid w:val="009062FE"/>
    <w:rsid w:val="00907438"/>
    <w:rsid w:val="00910739"/>
    <w:rsid w:val="009109B3"/>
    <w:rsid w:val="00911012"/>
    <w:rsid w:val="00911262"/>
    <w:rsid w:val="00912532"/>
    <w:rsid w:val="00912EE6"/>
    <w:rsid w:val="00912EF8"/>
    <w:rsid w:val="00912FAF"/>
    <w:rsid w:val="0091342C"/>
    <w:rsid w:val="0091505A"/>
    <w:rsid w:val="009167B1"/>
    <w:rsid w:val="00916D56"/>
    <w:rsid w:val="00916FD1"/>
    <w:rsid w:val="009170BD"/>
    <w:rsid w:val="00917FDE"/>
    <w:rsid w:val="00920A92"/>
    <w:rsid w:val="00920B43"/>
    <w:rsid w:val="00920D81"/>
    <w:rsid w:val="00921071"/>
    <w:rsid w:val="0092111E"/>
    <w:rsid w:val="00921393"/>
    <w:rsid w:val="00922360"/>
    <w:rsid w:val="00922AA0"/>
    <w:rsid w:val="009235D1"/>
    <w:rsid w:val="00923B52"/>
    <w:rsid w:val="00923B9C"/>
    <w:rsid w:val="00925472"/>
    <w:rsid w:val="00926A4D"/>
    <w:rsid w:val="00927CB7"/>
    <w:rsid w:val="0093063F"/>
    <w:rsid w:val="00930BA5"/>
    <w:rsid w:val="0093114C"/>
    <w:rsid w:val="00931173"/>
    <w:rsid w:val="00931E40"/>
    <w:rsid w:val="0093284F"/>
    <w:rsid w:val="00932D88"/>
    <w:rsid w:val="00933F83"/>
    <w:rsid w:val="0093444F"/>
    <w:rsid w:val="00934479"/>
    <w:rsid w:val="009349D8"/>
    <w:rsid w:val="009349DB"/>
    <w:rsid w:val="00934D44"/>
    <w:rsid w:val="00934D5E"/>
    <w:rsid w:val="0093575B"/>
    <w:rsid w:val="00935A7A"/>
    <w:rsid w:val="00935C53"/>
    <w:rsid w:val="0093742A"/>
    <w:rsid w:val="00937D33"/>
    <w:rsid w:val="00937D64"/>
    <w:rsid w:val="00940FFF"/>
    <w:rsid w:val="00941AB6"/>
    <w:rsid w:val="00941CA4"/>
    <w:rsid w:val="00942201"/>
    <w:rsid w:val="00942F87"/>
    <w:rsid w:val="009432F8"/>
    <w:rsid w:val="00944486"/>
    <w:rsid w:val="00944EFA"/>
    <w:rsid w:val="00946E9E"/>
    <w:rsid w:val="00951152"/>
    <w:rsid w:val="00951751"/>
    <w:rsid w:val="0095292E"/>
    <w:rsid w:val="00952C16"/>
    <w:rsid w:val="009531C9"/>
    <w:rsid w:val="00954671"/>
    <w:rsid w:val="00954B23"/>
    <w:rsid w:val="00954CA3"/>
    <w:rsid w:val="00955223"/>
    <w:rsid w:val="009559BE"/>
    <w:rsid w:val="00955BFB"/>
    <w:rsid w:val="00955EE3"/>
    <w:rsid w:val="009561B5"/>
    <w:rsid w:val="0095687B"/>
    <w:rsid w:val="00956D67"/>
    <w:rsid w:val="00957EE0"/>
    <w:rsid w:val="009603A2"/>
    <w:rsid w:val="00961D63"/>
    <w:rsid w:val="00962903"/>
    <w:rsid w:val="009636C6"/>
    <w:rsid w:val="00964009"/>
    <w:rsid w:val="00965475"/>
    <w:rsid w:val="009670EF"/>
    <w:rsid w:val="00967515"/>
    <w:rsid w:val="00967EB4"/>
    <w:rsid w:val="009700E7"/>
    <w:rsid w:val="00970909"/>
    <w:rsid w:val="00970DC6"/>
    <w:rsid w:val="00970FEC"/>
    <w:rsid w:val="00972028"/>
    <w:rsid w:val="0097241A"/>
    <w:rsid w:val="00972F39"/>
    <w:rsid w:val="00973230"/>
    <w:rsid w:val="0097336A"/>
    <w:rsid w:val="009742BD"/>
    <w:rsid w:val="00974577"/>
    <w:rsid w:val="00975CFC"/>
    <w:rsid w:val="009802A4"/>
    <w:rsid w:val="00982C13"/>
    <w:rsid w:val="0098301E"/>
    <w:rsid w:val="00983646"/>
    <w:rsid w:val="009839D1"/>
    <w:rsid w:val="00984054"/>
    <w:rsid w:val="00984FF8"/>
    <w:rsid w:val="00990156"/>
    <w:rsid w:val="00990E44"/>
    <w:rsid w:val="00990F2C"/>
    <w:rsid w:val="00991147"/>
    <w:rsid w:val="00991E14"/>
    <w:rsid w:val="00993B92"/>
    <w:rsid w:val="00993FCF"/>
    <w:rsid w:val="00995D5E"/>
    <w:rsid w:val="00996742"/>
    <w:rsid w:val="00996848"/>
    <w:rsid w:val="009976D8"/>
    <w:rsid w:val="009977AE"/>
    <w:rsid w:val="00997A59"/>
    <w:rsid w:val="009A00E0"/>
    <w:rsid w:val="009A05E4"/>
    <w:rsid w:val="009A16AC"/>
    <w:rsid w:val="009A2D69"/>
    <w:rsid w:val="009A4CB7"/>
    <w:rsid w:val="009A5994"/>
    <w:rsid w:val="009A616F"/>
    <w:rsid w:val="009A6D8F"/>
    <w:rsid w:val="009A6DC4"/>
    <w:rsid w:val="009A73AE"/>
    <w:rsid w:val="009A7BC0"/>
    <w:rsid w:val="009B003D"/>
    <w:rsid w:val="009B02B1"/>
    <w:rsid w:val="009B0BB3"/>
    <w:rsid w:val="009B0BC2"/>
    <w:rsid w:val="009B13F3"/>
    <w:rsid w:val="009B1F88"/>
    <w:rsid w:val="009B20CE"/>
    <w:rsid w:val="009B2D01"/>
    <w:rsid w:val="009B4592"/>
    <w:rsid w:val="009B4763"/>
    <w:rsid w:val="009B4A1B"/>
    <w:rsid w:val="009B4F49"/>
    <w:rsid w:val="009B6A10"/>
    <w:rsid w:val="009B76B2"/>
    <w:rsid w:val="009C01E3"/>
    <w:rsid w:val="009C03E6"/>
    <w:rsid w:val="009C07E7"/>
    <w:rsid w:val="009C0956"/>
    <w:rsid w:val="009C1146"/>
    <w:rsid w:val="009C177E"/>
    <w:rsid w:val="009C19E4"/>
    <w:rsid w:val="009C2D63"/>
    <w:rsid w:val="009C3E45"/>
    <w:rsid w:val="009C54C2"/>
    <w:rsid w:val="009C584E"/>
    <w:rsid w:val="009C626B"/>
    <w:rsid w:val="009C660B"/>
    <w:rsid w:val="009C6E1E"/>
    <w:rsid w:val="009C7049"/>
    <w:rsid w:val="009C7FDA"/>
    <w:rsid w:val="009D1546"/>
    <w:rsid w:val="009D36F5"/>
    <w:rsid w:val="009D41BD"/>
    <w:rsid w:val="009D4470"/>
    <w:rsid w:val="009D47B3"/>
    <w:rsid w:val="009D6431"/>
    <w:rsid w:val="009D65AB"/>
    <w:rsid w:val="009D7202"/>
    <w:rsid w:val="009D7762"/>
    <w:rsid w:val="009D7816"/>
    <w:rsid w:val="009D7DEC"/>
    <w:rsid w:val="009E063F"/>
    <w:rsid w:val="009E1505"/>
    <w:rsid w:val="009E15E6"/>
    <w:rsid w:val="009E1D0A"/>
    <w:rsid w:val="009E3FAB"/>
    <w:rsid w:val="009E4F51"/>
    <w:rsid w:val="009E55DD"/>
    <w:rsid w:val="009E6DA4"/>
    <w:rsid w:val="009E7178"/>
    <w:rsid w:val="009E7AA9"/>
    <w:rsid w:val="009F0191"/>
    <w:rsid w:val="009F0477"/>
    <w:rsid w:val="009F085D"/>
    <w:rsid w:val="009F158D"/>
    <w:rsid w:val="009F438B"/>
    <w:rsid w:val="009F46A2"/>
    <w:rsid w:val="009F46AF"/>
    <w:rsid w:val="009F5563"/>
    <w:rsid w:val="009F5B1E"/>
    <w:rsid w:val="009F5C39"/>
    <w:rsid w:val="009F5D04"/>
    <w:rsid w:val="009F5E81"/>
    <w:rsid w:val="009F667B"/>
    <w:rsid w:val="009F66FE"/>
    <w:rsid w:val="009F681B"/>
    <w:rsid w:val="009F776D"/>
    <w:rsid w:val="009F7C12"/>
    <w:rsid w:val="009F7F9E"/>
    <w:rsid w:val="00A00CEB"/>
    <w:rsid w:val="00A00D57"/>
    <w:rsid w:val="00A0139C"/>
    <w:rsid w:val="00A0373B"/>
    <w:rsid w:val="00A03E38"/>
    <w:rsid w:val="00A0412F"/>
    <w:rsid w:val="00A0467A"/>
    <w:rsid w:val="00A050D7"/>
    <w:rsid w:val="00A06626"/>
    <w:rsid w:val="00A07916"/>
    <w:rsid w:val="00A07F54"/>
    <w:rsid w:val="00A107C3"/>
    <w:rsid w:val="00A10C7D"/>
    <w:rsid w:val="00A117B2"/>
    <w:rsid w:val="00A120CE"/>
    <w:rsid w:val="00A1212A"/>
    <w:rsid w:val="00A16BF7"/>
    <w:rsid w:val="00A1711C"/>
    <w:rsid w:val="00A17842"/>
    <w:rsid w:val="00A17B88"/>
    <w:rsid w:val="00A20404"/>
    <w:rsid w:val="00A21A06"/>
    <w:rsid w:val="00A21E0C"/>
    <w:rsid w:val="00A22FFF"/>
    <w:rsid w:val="00A23AD1"/>
    <w:rsid w:val="00A25EED"/>
    <w:rsid w:val="00A26DB5"/>
    <w:rsid w:val="00A26E38"/>
    <w:rsid w:val="00A26F5E"/>
    <w:rsid w:val="00A27FE1"/>
    <w:rsid w:val="00A30037"/>
    <w:rsid w:val="00A30608"/>
    <w:rsid w:val="00A3078E"/>
    <w:rsid w:val="00A30D51"/>
    <w:rsid w:val="00A31CDF"/>
    <w:rsid w:val="00A32333"/>
    <w:rsid w:val="00A32373"/>
    <w:rsid w:val="00A3393E"/>
    <w:rsid w:val="00A349A3"/>
    <w:rsid w:val="00A34C16"/>
    <w:rsid w:val="00A35202"/>
    <w:rsid w:val="00A354C5"/>
    <w:rsid w:val="00A35876"/>
    <w:rsid w:val="00A3685B"/>
    <w:rsid w:val="00A36860"/>
    <w:rsid w:val="00A36BC6"/>
    <w:rsid w:val="00A37091"/>
    <w:rsid w:val="00A40007"/>
    <w:rsid w:val="00A40988"/>
    <w:rsid w:val="00A41CE1"/>
    <w:rsid w:val="00A425DE"/>
    <w:rsid w:val="00A42601"/>
    <w:rsid w:val="00A43289"/>
    <w:rsid w:val="00A44928"/>
    <w:rsid w:val="00A46584"/>
    <w:rsid w:val="00A46D62"/>
    <w:rsid w:val="00A50BC9"/>
    <w:rsid w:val="00A50C5F"/>
    <w:rsid w:val="00A5105F"/>
    <w:rsid w:val="00A522DB"/>
    <w:rsid w:val="00A525FF"/>
    <w:rsid w:val="00A563EE"/>
    <w:rsid w:val="00A56432"/>
    <w:rsid w:val="00A56CF0"/>
    <w:rsid w:val="00A56DB0"/>
    <w:rsid w:val="00A56FB1"/>
    <w:rsid w:val="00A578F1"/>
    <w:rsid w:val="00A60CD2"/>
    <w:rsid w:val="00A61122"/>
    <w:rsid w:val="00A612D7"/>
    <w:rsid w:val="00A61330"/>
    <w:rsid w:val="00A62F21"/>
    <w:rsid w:val="00A645A5"/>
    <w:rsid w:val="00A6466E"/>
    <w:rsid w:val="00A64911"/>
    <w:rsid w:val="00A652C7"/>
    <w:rsid w:val="00A6591C"/>
    <w:rsid w:val="00A65FE9"/>
    <w:rsid w:val="00A6631E"/>
    <w:rsid w:val="00A70DFB"/>
    <w:rsid w:val="00A718CE"/>
    <w:rsid w:val="00A7252A"/>
    <w:rsid w:val="00A74D38"/>
    <w:rsid w:val="00A773F7"/>
    <w:rsid w:val="00A80945"/>
    <w:rsid w:val="00A811C1"/>
    <w:rsid w:val="00A81AC5"/>
    <w:rsid w:val="00A82EC0"/>
    <w:rsid w:val="00A830B6"/>
    <w:rsid w:val="00A831F9"/>
    <w:rsid w:val="00A833DD"/>
    <w:rsid w:val="00A839F8"/>
    <w:rsid w:val="00A83AB6"/>
    <w:rsid w:val="00A843E3"/>
    <w:rsid w:val="00A84FE7"/>
    <w:rsid w:val="00A85DC0"/>
    <w:rsid w:val="00A86305"/>
    <w:rsid w:val="00A864BB"/>
    <w:rsid w:val="00A86547"/>
    <w:rsid w:val="00A8798C"/>
    <w:rsid w:val="00A90E10"/>
    <w:rsid w:val="00A92A44"/>
    <w:rsid w:val="00A92D24"/>
    <w:rsid w:val="00A93002"/>
    <w:rsid w:val="00A935FA"/>
    <w:rsid w:val="00A9439D"/>
    <w:rsid w:val="00A9449C"/>
    <w:rsid w:val="00A946DA"/>
    <w:rsid w:val="00A94CFB"/>
    <w:rsid w:val="00A95042"/>
    <w:rsid w:val="00A975F5"/>
    <w:rsid w:val="00A9787C"/>
    <w:rsid w:val="00A97C58"/>
    <w:rsid w:val="00AA0812"/>
    <w:rsid w:val="00AA0CB7"/>
    <w:rsid w:val="00AA1C2F"/>
    <w:rsid w:val="00AA233F"/>
    <w:rsid w:val="00AA28A5"/>
    <w:rsid w:val="00AA290B"/>
    <w:rsid w:val="00AA2A8D"/>
    <w:rsid w:val="00AA3556"/>
    <w:rsid w:val="00AA3929"/>
    <w:rsid w:val="00AA3C09"/>
    <w:rsid w:val="00AA4564"/>
    <w:rsid w:val="00AA4A97"/>
    <w:rsid w:val="00AA4C82"/>
    <w:rsid w:val="00AA59E5"/>
    <w:rsid w:val="00AA680E"/>
    <w:rsid w:val="00AA69AB"/>
    <w:rsid w:val="00AA6A34"/>
    <w:rsid w:val="00AA6E21"/>
    <w:rsid w:val="00AA752E"/>
    <w:rsid w:val="00AA7ED8"/>
    <w:rsid w:val="00AB087A"/>
    <w:rsid w:val="00AB0A4D"/>
    <w:rsid w:val="00AB0DBF"/>
    <w:rsid w:val="00AB1131"/>
    <w:rsid w:val="00AB1FF2"/>
    <w:rsid w:val="00AB20B9"/>
    <w:rsid w:val="00AB23A9"/>
    <w:rsid w:val="00AB246D"/>
    <w:rsid w:val="00AB2842"/>
    <w:rsid w:val="00AB28B8"/>
    <w:rsid w:val="00AB327D"/>
    <w:rsid w:val="00AB37D0"/>
    <w:rsid w:val="00AB3F30"/>
    <w:rsid w:val="00AB4231"/>
    <w:rsid w:val="00AB4232"/>
    <w:rsid w:val="00AB461D"/>
    <w:rsid w:val="00AB4999"/>
    <w:rsid w:val="00AB54F1"/>
    <w:rsid w:val="00AB5F94"/>
    <w:rsid w:val="00AB67BD"/>
    <w:rsid w:val="00AB69AD"/>
    <w:rsid w:val="00AC0F33"/>
    <w:rsid w:val="00AC1013"/>
    <w:rsid w:val="00AC21B0"/>
    <w:rsid w:val="00AC21D2"/>
    <w:rsid w:val="00AC2555"/>
    <w:rsid w:val="00AC3671"/>
    <w:rsid w:val="00AC3DC9"/>
    <w:rsid w:val="00AC494B"/>
    <w:rsid w:val="00AC54D1"/>
    <w:rsid w:val="00AC5C0B"/>
    <w:rsid w:val="00AC6174"/>
    <w:rsid w:val="00AD08BD"/>
    <w:rsid w:val="00AD1A17"/>
    <w:rsid w:val="00AD1EA8"/>
    <w:rsid w:val="00AD405F"/>
    <w:rsid w:val="00AD43D4"/>
    <w:rsid w:val="00AD47E7"/>
    <w:rsid w:val="00AD586D"/>
    <w:rsid w:val="00AD6CCB"/>
    <w:rsid w:val="00AD6F87"/>
    <w:rsid w:val="00AD7938"/>
    <w:rsid w:val="00AD7B21"/>
    <w:rsid w:val="00AE04AF"/>
    <w:rsid w:val="00AE0896"/>
    <w:rsid w:val="00AE0C69"/>
    <w:rsid w:val="00AE1995"/>
    <w:rsid w:val="00AE1C67"/>
    <w:rsid w:val="00AE2277"/>
    <w:rsid w:val="00AE25D1"/>
    <w:rsid w:val="00AE28B1"/>
    <w:rsid w:val="00AE2F79"/>
    <w:rsid w:val="00AE3CAF"/>
    <w:rsid w:val="00AE3EC3"/>
    <w:rsid w:val="00AE40BC"/>
    <w:rsid w:val="00AE4438"/>
    <w:rsid w:val="00AE4716"/>
    <w:rsid w:val="00AE4BB5"/>
    <w:rsid w:val="00AE5011"/>
    <w:rsid w:val="00AE54DD"/>
    <w:rsid w:val="00AE57E0"/>
    <w:rsid w:val="00AE5811"/>
    <w:rsid w:val="00AE7844"/>
    <w:rsid w:val="00AF02B1"/>
    <w:rsid w:val="00AF113E"/>
    <w:rsid w:val="00AF2068"/>
    <w:rsid w:val="00AF2EE1"/>
    <w:rsid w:val="00AF2F50"/>
    <w:rsid w:val="00AF3B6C"/>
    <w:rsid w:val="00AF5FEB"/>
    <w:rsid w:val="00AF74D4"/>
    <w:rsid w:val="00B006D7"/>
    <w:rsid w:val="00B01073"/>
    <w:rsid w:val="00B01D93"/>
    <w:rsid w:val="00B03F93"/>
    <w:rsid w:val="00B0483B"/>
    <w:rsid w:val="00B051CE"/>
    <w:rsid w:val="00B05229"/>
    <w:rsid w:val="00B05307"/>
    <w:rsid w:val="00B07317"/>
    <w:rsid w:val="00B076CD"/>
    <w:rsid w:val="00B07F90"/>
    <w:rsid w:val="00B11EA9"/>
    <w:rsid w:val="00B12C0B"/>
    <w:rsid w:val="00B130C3"/>
    <w:rsid w:val="00B132D1"/>
    <w:rsid w:val="00B15564"/>
    <w:rsid w:val="00B158C4"/>
    <w:rsid w:val="00B15CF4"/>
    <w:rsid w:val="00B16446"/>
    <w:rsid w:val="00B165DC"/>
    <w:rsid w:val="00B20AFF"/>
    <w:rsid w:val="00B21213"/>
    <w:rsid w:val="00B21905"/>
    <w:rsid w:val="00B21943"/>
    <w:rsid w:val="00B21B21"/>
    <w:rsid w:val="00B22437"/>
    <w:rsid w:val="00B22455"/>
    <w:rsid w:val="00B228FC"/>
    <w:rsid w:val="00B22E7B"/>
    <w:rsid w:val="00B231FF"/>
    <w:rsid w:val="00B2364D"/>
    <w:rsid w:val="00B24857"/>
    <w:rsid w:val="00B2491C"/>
    <w:rsid w:val="00B251F9"/>
    <w:rsid w:val="00B257F8"/>
    <w:rsid w:val="00B26C14"/>
    <w:rsid w:val="00B30740"/>
    <w:rsid w:val="00B30F38"/>
    <w:rsid w:val="00B3157F"/>
    <w:rsid w:val="00B31DBC"/>
    <w:rsid w:val="00B31E03"/>
    <w:rsid w:val="00B3412D"/>
    <w:rsid w:val="00B34462"/>
    <w:rsid w:val="00B3524B"/>
    <w:rsid w:val="00B3683A"/>
    <w:rsid w:val="00B36949"/>
    <w:rsid w:val="00B36ACE"/>
    <w:rsid w:val="00B36E32"/>
    <w:rsid w:val="00B37363"/>
    <w:rsid w:val="00B37AD3"/>
    <w:rsid w:val="00B37E98"/>
    <w:rsid w:val="00B37F60"/>
    <w:rsid w:val="00B40D31"/>
    <w:rsid w:val="00B4190E"/>
    <w:rsid w:val="00B42347"/>
    <w:rsid w:val="00B42A13"/>
    <w:rsid w:val="00B42F6B"/>
    <w:rsid w:val="00B43114"/>
    <w:rsid w:val="00B43380"/>
    <w:rsid w:val="00B44231"/>
    <w:rsid w:val="00B44A69"/>
    <w:rsid w:val="00B4533F"/>
    <w:rsid w:val="00B4571D"/>
    <w:rsid w:val="00B45BAF"/>
    <w:rsid w:val="00B45D40"/>
    <w:rsid w:val="00B46102"/>
    <w:rsid w:val="00B468F3"/>
    <w:rsid w:val="00B475BD"/>
    <w:rsid w:val="00B4796D"/>
    <w:rsid w:val="00B506E7"/>
    <w:rsid w:val="00B508BA"/>
    <w:rsid w:val="00B50D9A"/>
    <w:rsid w:val="00B50DC3"/>
    <w:rsid w:val="00B5197F"/>
    <w:rsid w:val="00B51D72"/>
    <w:rsid w:val="00B52557"/>
    <w:rsid w:val="00B52A96"/>
    <w:rsid w:val="00B53834"/>
    <w:rsid w:val="00B542AA"/>
    <w:rsid w:val="00B54893"/>
    <w:rsid w:val="00B55291"/>
    <w:rsid w:val="00B55B95"/>
    <w:rsid w:val="00B55FD5"/>
    <w:rsid w:val="00B56187"/>
    <w:rsid w:val="00B56789"/>
    <w:rsid w:val="00B56C5B"/>
    <w:rsid w:val="00B56D3A"/>
    <w:rsid w:val="00B60279"/>
    <w:rsid w:val="00B606BC"/>
    <w:rsid w:val="00B618B5"/>
    <w:rsid w:val="00B6352F"/>
    <w:rsid w:val="00B636DB"/>
    <w:rsid w:val="00B63868"/>
    <w:rsid w:val="00B64006"/>
    <w:rsid w:val="00B64A66"/>
    <w:rsid w:val="00B64ADD"/>
    <w:rsid w:val="00B64CF7"/>
    <w:rsid w:val="00B65227"/>
    <w:rsid w:val="00B70316"/>
    <w:rsid w:val="00B7093E"/>
    <w:rsid w:val="00B7169D"/>
    <w:rsid w:val="00B71A5D"/>
    <w:rsid w:val="00B72959"/>
    <w:rsid w:val="00B738EE"/>
    <w:rsid w:val="00B73A5D"/>
    <w:rsid w:val="00B75545"/>
    <w:rsid w:val="00B7572B"/>
    <w:rsid w:val="00B75CB5"/>
    <w:rsid w:val="00B75CEC"/>
    <w:rsid w:val="00B76768"/>
    <w:rsid w:val="00B76AB6"/>
    <w:rsid w:val="00B76B6A"/>
    <w:rsid w:val="00B76BB0"/>
    <w:rsid w:val="00B76F19"/>
    <w:rsid w:val="00B7720A"/>
    <w:rsid w:val="00B80C2E"/>
    <w:rsid w:val="00B81B0F"/>
    <w:rsid w:val="00B83905"/>
    <w:rsid w:val="00B841AA"/>
    <w:rsid w:val="00B8523B"/>
    <w:rsid w:val="00B85347"/>
    <w:rsid w:val="00B86DEC"/>
    <w:rsid w:val="00B8700A"/>
    <w:rsid w:val="00B87091"/>
    <w:rsid w:val="00B87167"/>
    <w:rsid w:val="00B874FB"/>
    <w:rsid w:val="00B87CA4"/>
    <w:rsid w:val="00B90B06"/>
    <w:rsid w:val="00B91850"/>
    <w:rsid w:val="00B91E37"/>
    <w:rsid w:val="00B92574"/>
    <w:rsid w:val="00B92626"/>
    <w:rsid w:val="00B92F21"/>
    <w:rsid w:val="00B9404C"/>
    <w:rsid w:val="00B9484C"/>
    <w:rsid w:val="00B96088"/>
    <w:rsid w:val="00B9648D"/>
    <w:rsid w:val="00B96A9C"/>
    <w:rsid w:val="00B97BCE"/>
    <w:rsid w:val="00BA042F"/>
    <w:rsid w:val="00BA090C"/>
    <w:rsid w:val="00BA0ED7"/>
    <w:rsid w:val="00BA1FAA"/>
    <w:rsid w:val="00BA27A2"/>
    <w:rsid w:val="00BA361A"/>
    <w:rsid w:val="00BA367C"/>
    <w:rsid w:val="00BA3875"/>
    <w:rsid w:val="00BA3DEE"/>
    <w:rsid w:val="00BA4537"/>
    <w:rsid w:val="00BA4617"/>
    <w:rsid w:val="00BA4FFC"/>
    <w:rsid w:val="00BA5643"/>
    <w:rsid w:val="00BA5D03"/>
    <w:rsid w:val="00BA5E22"/>
    <w:rsid w:val="00BA5F36"/>
    <w:rsid w:val="00BA6171"/>
    <w:rsid w:val="00BA65F2"/>
    <w:rsid w:val="00BA68BD"/>
    <w:rsid w:val="00BB17A0"/>
    <w:rsid w:val="00BB19D6"/>
    <w:rsid w:val="00BB3F33"/>
    <w:rsid w:val="00BB4906"/>
    <w:rsid w:val="00BB4C89"/>
    <w:rsid w:val="00BB4C99"/>
    <w:rsid w:val="00BB4DD0"/>
    <w:rsid w:val="00BB7248"/>
    <w:rsid w:val="00BB74E6"/>
    <w:rsid w:val="00BB74FA"/>
    <w:rsid w:val="00BB7531"/>
    <w:rsid w:val="00BB7DE6"/>
    <w:rsid w:val="00BB7F61"/>
    <w:rsid w:val="00BC0328"/>
    <w:rsid w:val="00BC06AF"/>
    <w:rsid w:val="00BC0AB1"/>
    <w:rsid w:val="00BC182A"/>
    <w:rsid w:val="00BC19CE"/>
    <w:rsid w:val="00BC2BD9"/>
    <w:rsid w:val="00BC31EA"/>
    <w:rsid w:val="00BC34BC"/>
    <w:rsid w:val="00BC3B52"/>
    <w:rsid w:val="00BC47FA"/>
    <w:rsid w:val="00BC58B4"/>
    <w:rsid w:val="00BC5AF0"/>
    <w:rsid w:val="00BC5E10"/>
    <w:rsid w:val="00BC5EB6"/>
    <w:rsid w:val="00BC63A1"/>
    <w:rsid w:val="00BC752B"/>
    <w:rsid w:val="00BC7CA4"/>
    <w:rsid w:val="00BD168D"/>
    <w:rsid w:val="00BD1B13"/>
    <w:rsid w:val="00BD4A8E"/>
    <w:rsid w:val="00BD6E97"/>
    <w:rsid w:val="00BD7AA9"/>
    <w:rsid w:val="00BD7FC3"/>
    <w:rsid w:val="00BE0002"/>
    <w:rsid w:val="00BE15E4"/>
    <w:rsid w:val="00BE2FD2"/>
    <w:rsid w:val="00BE3146"/>
    <w:rsid w:val="00BE379E"/>
    <w:rsid w:val="00BE3E9F"/>
    <w:rsid w:val="00BE413E"/>
    <w:rsid w:val="00BE49CB"/>
    <w:rsid w:val="00BE62CD"/>
    <w:rsid w:val="00BE63DF"/>
    <w:rsid w:val="00BE7466"/>
    <w:rsid w:val="00BF05D4"/>
    <w:rsid w:val="00BF0733"/>
    <w:rsid w:val="00BF10A3"/>
    <w:rsid w:val="00BF1C1C"/>
    <w:rsid w:val="00BF1C5D"/>
    <w:rsid w:val="00BF20C1"/>
    <w:rsid w:val="00BF2E09"/>
    <w:rsid w:val="00BF462F"/>
    <w:rsid w:val="00BF48B5"/>
    <w:rsid w:val="00BF5919"/>
    <w:rsid w:val="00BF605E"/>
    <w:rsid w:val="00BF6785"/>
    <w:rsid w:val="00BF67C5"/>
    <w:rsid w:val="00BF6CC0"/>
    <w:rsid w:val="00BF7192"/>
    <w:rsid w:val="00C00D35"/>
    <w:rsid w:val="00C00F8D"/>
    <w:rsid w:val="00C0119E"/>
    <w:rsid w:val="00C01600"/>
    <w:rsid w:val="00C01AFE"/>
    <w:rsid w:val="00C01D55"/>
    <w:rsid w:val="00C025D4"/>
    <w:rsid w:val="00C02746"/>
    <w:rsid w:val="00C02CA2"/>
    <w:rsid w:val="00C0322F"/>
    <w:rsid w:val="00C04910"/>
    <w:rsid w:val="00C0565F"/>
    <w:rsid w:val="00C05E1F"/>
    <w:rsid w:val="00C063FA"/>
    <w:rsid w:val="00C066A1"/>
    <w:rsid w:val="00C06A35"/>
    <w:rsid w:val="00C06D8C"/>
    <w:rsid w:val="00C070A1"/>
    <w:rsid w:val="00C07307"/>
    <w:rsid w:val="00C073C0"/>
    <w:rsid w:val="00C07950"/>
    <w:rsid w:val="00C1032E"/>
    <w:rsid w:val="00C1057D"/>
    <w:rsid w:val="00C10F5F"/>
    <w:rsid w:val="00C11433"/>
    <w:rsid w:val="00C11EE1"/>
    <w:rsid w:val="00C12413"/>
    <w:rsid w:val="00C125D5"/>
    <w:rsid w:val="00C127E8"/>
    <w:rsid w:val="00C14741"/>
    <w:rsid w:val="00C15CCF"/>
    <w:rsid w:val="00C15D41"/>
    <w:rsid w:val="00C17CA8"/>
    <w:rsid w:val="00C200AE"/>
    <w:rsid w:val="00C20311"/>
    <w:rsid w:val="00C207E4"/>
    <w:rsid w:val="00C20A43"/>
    <w:rsid w:val="00C211B0"/>
    <w:rsid w:val="00C212B9"/>
    <w:rsid w:val="00C212FB"/>
    <w:rsid w:val="00C21BED"/>
    <w:rsid w:val="00C22187"/>
    <w:rsid w:val="00C2401B"/>
    <w:rsid w:val="00C2444C"/>
    <w:rsid w:val="00C27793"/>
    <w:rsid w:val="00C308C1"/>
    <w:rsid w:val="00C31575"/>
    <w:rsid w:val="00C320CA"/>
    <w:rsid w:val="00C32A7B"/>
    <w:rsid w:val="00C32E0F"/>
    <w:rsid w:val="00C33E28"/>
    <w:rsid w:val="00C34EB9"/>
    <w:rsid w:val="00C362F5"/>
    <w:rsid w:val="00C36718"/>
    <w:rsid w:val="00C370BB"/>
    <w:rsid w:val="00C375CA"/>
    <w:rsid w:val="00C4075C"/>
    <w:rsid w:val="00C40969"/>
    <w:rsid w:val="00C41012"/>
    <w:rsid w:val="00C4181F"/>
    <w:rsid w:val="00C41DCF"/>
    <w:rsid w:val="00C41E0D"/>
    <w:rsid w:val="00C41EDA"/>
    <w:rsid w:val="00C42002"/>
    <w:rsid w:val="00C4204F"/>
    <w:rsid w:val="00C428A7"/>
    <w:rsid w:val="00C42ADC"/>
    <w:rsid w:val="00C43834"/>
    <w:rsid w:val="00C4601F"/>
    <w:rsid w:val="00C477CD"/>
    <w:rsid w:val="00C5103A"/>
    <w:rsid w:val="00C514B7"/>
    <w:rsid w:val="00C516F4"/>
    <w:rsid w:val="00C528DA"/>
    <w:rsid w:val="00C52E5C"/>
    <w:rsid w:val="00C553BC"/>
    <w:rsid w:val="00C55C11"/>
    <w:rsid w:val="00C57248"/>
    <w:rsid w:val="00C57ED1"/>
    <w:rsid w:val="00C626C7"/>
    <w:rsid w:val="00C62870"/>
    <w:rsid w:val="00C6297B"/>
    <w:rsid w:val="00C646AB"/>
    <w:rsid w:val="00C64DF7"/>
    <w:rsid w:val="00C6699F"/>
    <w:rsid w:val="00C67DDB"/>
    <w:rsid w:val="00C700E0"/>
    <w:rsid w:val="00C71684"/>
    <w:rsid w:val="00C72221"/>
    <w:rsid w:val="00C7260E"/>
    <w:rsid w:val="00C72E1C"/>
    <w:rsid w:val="00C7484D"/>
    <w:rsid w:val="00C757E9"/>
    <w:rsid w:val="00C7628B"/>
    <w:rsid w:val="00C765DB"/>
    <w:rsid w:val="00C76602"/>
    <w:rsid w:val="00C77CF9"/>
    <w:rsid w:val="00C80459"/>
    <w:rsid w:val="00C80A89"/>
    <w:rsid w:val="00C8109F"/>
    <w:rsid w:val="00C81505"/>
    <w:rsid w:val="00C81C3C"/>
    <w:rsid w:val="00C81D30"/>
    <w:rsid w:val="00C8205B"/>
    <w:rsid w:val="00C825EA"/>
    <w:rsid w:val="00C82C16"/>
    <w:rsid w:val="00C83CD3"/>
    <w:rsid w:val="00C85974"/>
    <w:rsid w:val="00C85AC1"/>
    <w:rsid w:val="00C85AF2"/>
    <w:rsid w:val="00C86B19"/>
    <w:rsid w:val="00C87710"/>
    <w:rsid w:val="00C901A4"/>
    <w:rsid w:val="00C902C0"/>
    <w:rsid w:val="00C92B77"/>
    <w:rsid w:val="00C9377B"/>
    <w:rsid w:val="00C93AF8"/>
    <w:rsid w:val="00C93C6D"/>
    <w:rsid w:val="00C94FE5"/>
    <w:rsid w:val="00C95151"/>
    <w:rsid w:val="00C96442"/>
    <w:rsid w:val="00C9647E"/>
    <w:rsid w:val="00C969A1"/>
    <w:rsid w:val="00C96C33"/>
    <w:rsid w:val="00C97369"/>
    <w:rsid w:val="00C97609"/>
    <w:rsid w:val="00CA00C4"/>
    <w:rsid w:val="00CA060D"/>
    <w:rsid w:val="00CA2344"/>
    <w:rsid w:val="00CA24C3"/>
    <w:rsid w:val="00CA27E0"/>
    <w:rsid w:val="00CA2C4D"/>
    <w:rsid w:val="00CA35A5"/>
    <w:rsid w:val="00CA36BF"/>
    <w:rsid w:val="00CA3D67"/>
    <w:rsid w:val="00CA4979"/>
    <w:rsid w:val="00CA5202"/>
    <w:rsid w:val="00CA54D7"/>
    <w:rsid w:val="00CA557D"/>
    <w:rsid w:val="00CA56D4"/>
    <w:rsid w:val="00CA57DF"/>
    <w:rsid w:val="00CA5AFD"/>
    <w:rsid w:val="00CA72AC"/>
    <w:rsid w:val="00CA7DA5"/>
    <w:rsid w:val="00CB0693"/>
    <w:rsid w:val="00CB1742"/>
    <w:rsid w:val="00CB24E0"/>
    <w:rsid w:val="00CB3670"/>
    <w:rsid w:val="00CB4561"/>
    <w:rsid w:val="00CB459A"/>
    <w:rsid w:val="00CB473E"/>
    <w:rsid w:val="00CB4966"/>
    <w:rsid w:val="00CB5915"/>
    <w:rsid w:val="00CB5B6D"/>
    <w:rsid w:val="00CB5B9E"/>
    <w:rsid w:val="00CB5FD9"/>
    <w:rsid w:val="00CB6960"/>
    <w:rsid w:val="00CB6D4C"/>
    <w:rsid w:val="00CC0534"/>
    <w:rsid w:val="00CC1DDD"/>
    <w:rsid w:val="00CC2695"/>
    <w:rsid w:val="00CC2CAF"/>
    <w:rsid w:val="00CC37B6"/>
    <w:rsid w:val="00CC3AAA"/>
    <w:rsid w:val="00CC3EA4"/>
    <w:rsid w:val="00CC495B"/>
    <w:rsid w:val="00CC5A7A"/>
    <w:rsid w:val="00CC5CB0"/>
    <w:rsid w:val="00CC5D16"/>
    <w:rsid w:val="00CC645E"/>
    <w:rsid w:val="00CC66EC"/>
    <w:rsid w:val="00CC7618"/>
    <w:rsid w:val="00CD1460"/>
    <w:rsid w:val="00CD2280"/>
    <w:rsid w:val="00CD3221"/>
    <w:rsid w:val="00CD3A62"/>
    <w:rsid w:val="00CD3BBF"/>
    <w:rsid w:val="00CD3D57"/>
    <w:rsid w:val="00CD5424"/>
    <w:rsid w:val="00CD6A33"/>
    <w:rsid w:val="00CD6B8A"/>
    <w:rsid w:val="00CD6C75"/>
    <w:rsid w:val="00CD7775"/>
    <w:rsid w:val="00CE000B"/>
    <w:rsid w:val="00CE0279"/>
    <w:rsid w:val="00CE053F"/>
    <w:rsid w:val="00CE0C87"/>
    <w:rsid w:val="00CE1557"/>
    <w:rsid w:val="00CE1769"/>
    <w:rsid w:val="00CE1B0F"/>
    <w:rsid w:val="00CE1CF3"/>
    <w:rsid w:val="00CE1F2C"/>
    <w:rsid w:val="00CE200E"/>
    <w:rsid w:val="00CE23E1"/>
    <w:rsid w:val="00CE25AD"/>
    <w:rsid w:val="00CE2E40"/>
    <w:rsid w:val="00CE36A8"/>
    <w:rsid w:val="00CE42BF"/>
    <w:rsid w:val="00CE5E41"/>
    <w:rsid w:val="00CE6E06"/>
    <w:rsid w:val="00CE73ED"/>
    <w:rsid w:val="00CF019E"/>
    <w:rsid w:val="00CF0566"/>
    <w:rsid w:val="00CF056E"/>
    <w:rsid w:val="00CF0D1D"/>
    <w:rsid w:val="00CF130D"/>
    <w:rsid w:val="00CF19A9"/>
    <w:rsid w:val="00CF1FBF"/>
    <w:rsid w:val="00CF2E55"/>
    <w:rsid w:val="00CF434F"/>
    <w:rsid w:val="00CF462C"/>
    <w:rsid w:val="00CF5713"/>
    <w:rsid w:val="00CF77E9"/>
    <w:rsid w:val="00CF7FA0"/>
    <w:rsid w:val="00D00270"/>
    <w:rsid w:val="00D012E0"/>
    <w:rsid w:val="00D01D14"/>
    <w:rsid w:val="00D04092"/>
    <w:rsid w:val="00D06003"/>
    <w:rsid w:val="00D061C1"/>
    <w:rsid w:val="00D06491"/>
    <w:rsid w:val="00D11190"/>
    <w:rsid w:val="00D11BCD"/>
    <w:rsid w:val="00D11C01"/>
    <w:rsid w:val="00D12973"/>
    <w:rsid w:val="00D138CD"/>
    <w:rsid w:val="00D1425E"/>
    <w:rsid w:val="00D14624"/>
    <w:rsid w:val="00D15014"/>
    <w:rsid w:val="00D1535D"/>
    <w:rsid w:val="00D168F0"/>
    <w:rsid w:val="00D16DE5"/>
    <w:rsid w:val="00D17E6B"/>
    <w:rsid w:val="00D21557"/>
    <w:rsid w:val="00D21DAF"/>
    <w:rsid w:val="00D21F0F"/>
    <w:rsid w:val="00D22083"/>
    <w:rsid w:val="00D222DC"/>
    <w:rsid w:val="00D23964"/>
    <w:rsid w:val="00D25501"/>
    <w:rsid w:val="00D262D3"/>
    <w:rsid w:val="00D265E1"/>
    <w:rsid w:val="00D26809"/>
    <w:rsid w:val="00D26CD5"/>
    <w:rsid w:val="00D26ECB"/>
    <w:rsid w:val="00D26FAD"/>
    <w:rsid w:val="00D30BCB"/>
    <w:rsid w:val="00D31DCE"/>
    <w:rsid w:val="00D325A8"/>
    <w:rsid w:val="00D32C25"/>
    <w:rsid w:val="00D33463"/>
    <w:rsid w:val="00D33565"/>
    <w:rsid w:val="00D336B8"/>
    <w:rsid w:val="00D343C7"/>
    <w:rsid w:val="00D3446A"/>
    <w:rsid w:val="00D350ED"/>
    <w:rsid w:val="00D354DB"/>
    <w:rsid w:val="00D361FB"/>
    <w:rsid w:val="00D363CF"/>
    <w:rsid w:val="00D36DFD"/>
    <w:rsid w:val="00D37F2B"/>
    <w:rsid w:val="00D37FE2"/>
    <w:rsid w:val="00D40CCA"/>
    <w:rsid w:val="00D42C92"/>
    <w:rsid w:val="00D4466C"/>
    <w:rsid w:val="00D450AE"/>
    <w:rsid w:val="00D4526B"/>
    <w:rsid w:val="00D457A7"/>
    <w:rsid w:val="00D47183"/>
    <w:rsid w:val="00D47BBB"/>
    <w:rsid w:val="00D500F6"/>
    <w:rsid w:val="00D505D5"/>
    <w:rsid w:val="00D51C0B"/>
    <w:rsid w:val="00D52174"/>
    <w:rsid w:val="00D55C84"/>
    <w:rsid w:val="00D55F5C"/>
    <w:rsid w:val="00D5607E"/>
    <w:rsid w:val="00D56DE9"/>
    <w:rsid w:val="00D56E1A"/>
    <w:rsid w:val="00D60069"/>
    <w:rsid w:val="00D602FD"/>
    <w:rsid w:val="00D60422"/>
    <w:rsid w:val="00D6042C"/>
    <w:rsid w:val="00D604EB"/>
    <w:rsid w:val="00D60781"/>
    <w:rsid w:val="00D60E3E"/>
    <w:rsid w:val="00D62595"/>
    <w:rsid w:val="00D62C26"/>
    <w:rsid w:val="00D63EA3"/>
    <w:rsid w:val="00D64526"/>
    <w:rsid w:val="00D64DA9"/>
    <w:rsid w:val="00D65A10"/>
    <w:rsid w:val="00D65C3B"/>
    <w:rsid w:val="00D6617C"/>
    <w:rsid w:val="00D66223"/>
    <w:rsid w:val="00D66D3E"/>
    <w:rsid w:val="00D66DAF"/>
    <w:rsid w:val="00D66E7A"/>
    <w:rsid w:val="00D70517"/>
    <w:rsid w:val="00D70B72"/>
    <w:rsid w:val="00D70C08"/>
    <w:rsid w:val="00D711B0"/>
    <w:rsid w:val="00D71A44"/>
    <w:rsid w:val="00D72336"/>
    <w:rsid w:val="00D73BEF"/>
    <w:rsid w:val="00D75191"/>
    <w:rsid w:val="00D7541A"/>
    <w:rsid w:val="00D75BB6"/>
    <w:rsid w:val="00D764FB"/>
    <w:rsid w:val="00D77529"/>
    <w:rsid w:val="00D8083D"/>
    <w:rsid w:val="00D81CD0"/>
    <w:rsid w:val="00D81DCA"/>
    <w:rsid w:val="00D83036"/>
    <w:rsid w:val="00D84040"/>
    <w:rsid w:val="00D85D3F"/>
    <w:rsid w:val="00D86199"/>
    <w:rsid w:val="00D86EDD"/>
    <w:rsid w:val="00D87A81"/>
    <w:rsid w:val="00D90221"/>
    <w:rsid w:val="00D91CDC"/>
    <w:rsid w:val="00D91FE1"/>
    <w:rsid w:val="00D9261D"/>
    <w:rsid w:val="00D92831"/>
    <w:rsid w:val="00D929DF"/>
    <w:rsid w:val="00D92FFA"/>
    <w:rsid w:val="00D93AF2"/>
    <w:rsid w:val="00D943EF"/>
    <w:rsid w:val="00D962B4"/>
    <w:rsid w:val="00D96F47"/>
    <w:rsid w:val="00D96F71"/>
    <w:rsid w:val="00DA07D5"/>
    <w:rsid w:val="00DA106C"/>
    <w:rsid w:val="00DA1635"/>
    <w:rsid w:val="00DA295F"/>
    <w:rsid w:val="00DA3E90"/>
    <w:rsid w:val="00DA43B3"/>
    <w:rsid w:val="00DA4960"/>
    <w:rsid w:val="00DA54DF"/>
    <w:rsid w:val="00DA55AE"/>
    <w:rsid w:val="00DA5C51"/>
    <w:rsid w:val="00DA639E"/>
    <w:rsid w:val="00DA6871"/>
    <w:rsid w:val="00DA72EF"/>
    <w:rsid w:val="00DB1B5A"/>
    <w:rsid w:val="00DB1BA8"/>
    <w:rsid w:val="00DB1F0F"/>
    <w:rsid w:val="00DB1FF4"/>
    <w:rsid w:val="00DB2109"/>
    <w:rsid w:val="00DB2DB3"/>
    <w:rsid w:val="00DB39E4"/>
    <w:rsid w:val="00DB46F8"/>
    <w:rsid w:val="00DB4AA5"/>
    <w:rsid w:val="00DB57C2"/>
    <w:rsid w:val="00DB5C52"/>
    <w:rsid w:val="00DB619E"/>
    <w:rsid w:val="00DB63CD"/>
    <w:rsid w:val="00DB65F9"/>
    <w:rsid w:val="00DB6876"/>
    <w:rsid w:val="00DB6A6A"/>
    <w:rsid w:val="00DB7008"/>
    <w:rsid w:val="00DB7181"/>
    <w:rsid w:val="00DB7658"/>
    <w:rsid w:val="00DC0A76"/>
    <w:rsid w:val="00DC0AF4"/>
    <w:rsid w:val="00DC0DEE"/>
    <w:rsid w:val="00DC164F"/>
    <w:rsid w:val="00DC16DC"/>
    <w:rsid w:val="00DC1814"/>
    <w:rsid w:val="00DC1844"/>
    <w:rsid w:val="00DC1A54"/>
    <w:rsid w:val="00DC26A8"/>
    <w:rsid w:val="00DC3647"/>
    <w:rsid w:val="00DC3DBE"/>
    <w:rsid w:val="00DC4BBF"/>
    <w:rsid w:val="00DC75C7"/>
    <w:rsid w:val="00DC782A"/>
    <w:rsid w:val="00DD0460"/>
    <w:rsid w:val="00DD06A7"/>
    <w:rsid w:val="00DD2351"/>
    <w:rsid w:val="00DD3205"/>
    <w:rsid w:val="00DD3637"/>
    <w:rsid w:val="00DD4F6E"/>
    <w:rsid w:val="00DD4F9B"/>
    <w:rsid w:val="00DD549E"/>
    <w:rsid w:val="00DD57F5"/>
    <w:rsid w:val="00DD5C40"/>
    <w:rsid w:val="00DD641C"/>
    <w:rsid w:val="00DD6CDE"/>
    <w:rsid w:val="00DD7D71"/>
    <w:rsid w:val="00DE0E5C"/>
    <w:rsid w:val="00DE2D2D"/>
    <w:rsid w:val="00DE329B"/>
    <w:rsid w:val="00DE38D0"/>
    <w:rsid w:val="00DE5025"/>
    <w:rsid w:val="00DE51C1"/>
    <w:rsid w:val="00DE7982"/>
    <w:rsid w:val="00DF0486"/>
    <w:rsid w:val="00DF0944"/>
    <w:rsid w:val="00DF155B"/>
    <w:rsid w:val="00DF25AA"/>
    <w:rsid w:val="00DF4254"/>
    <w:rsid w:val="00DF4750"/>
    <w:rsid w:val="00DF48A7"/>
    <w:rsid w:val="00DF6079"/>
    <w:rsid w:val="00DF7691"/>
    <w:rsid w:val="00DF7BCB"/>
    <w:rsid w:val="00E01BA5"/>
    <w:rsid w:val="00E03941"/>
    <w:rsid w:val="00E03F78"/>
    <w:rsid w:val="00E040A3"/>
    <w:rsid w:val="00E042D7"/>
    <w:rsid w:val="00E04DEB"/>
    <w:rsid w:val="00E050FF"/>
    <w:rsid w:val="00E05446"/>
    <w:rsid w:val="00E0623E"/>
    <w:rsid w:val="00E06DF3"/>
    <w:rsid w:val="00E070E1"/>
    <w:rsid w:val="00E10865"/>
    <w:rsid w:val="00E1088D"/>
    <w:rsid w:val="00E11611"/>
    <w:rsid w:val="00E1243E"/>
    <w:rsid w:val="00E13072"/>
    <w:rsid w:val="00E13518"/>
    <w:rsid w:val="00E13DD7"/>
    <w:rsid w:val="00E149CA"/>
    <w:rsid w:val="00E15D46"/>
    <w:rsid w:val="00E15FA6"/>
    <w:rsid w:val="00E16DEF"/>
    <w:rsid w:val="00E17D1C"/>
    <w:rsid w:val="00E206A8"/>
    <w:rsid w:val="00E21FBF"/>
    <w:rsid w:val="00E238FD"/>
    <w:rsid w:val="00E23B7F"/>
    <w:rsid w:val="00E23DF5"/>
    <w:rsid w:val="00E2425C"/>
    <w:rsid w:val="00E254B5"/>
    <w:rsid w:val="00E26138"/>
    <w:rsid w:val="00E26398"/>
    <w:rsid w:val="00E2711E"/>
    <w:rsid w:val="00E2756B"/>
    <w:rsid w:val="00E2771A"/>
    <w:rsid w:val="00E27A39"/>
    <w:rsid w:val="00E304F4"/>
    <w:rsid w:val="00E30D83"/>
    <w:rsid w:val="00E30F23"/>
    <w:rsid w:val="00E315FA"/>
    <w:rsid w:val="00E31654"/>
    <w:rsid w:val="00E31769"/>
    <w:rsid w:val="00E31D3C"/>
    <w:rsid w:val="00E31DEA"/>
    <w:rsid w:val="00E32076"/>
    <w:rsid w:val="00E33A40"/>
    <w:rsid w:val="00E33FB3"/>
    <w:rsid w:val="00E35737"/>
    <w:rsid w:val="00E362C0"/>
    <w:rsid w:val="00E36EFA"/>
    <w:rsid w:val="00E37134"/>
    <w:rsid w:val="00E4117B"/>
    <w:rsid w:val="00E42DB0"/>
    <w:rsid w:val="00E4338D"/>
    <w:rsid w:val="00E43CAA"/>
    <w:rsid w:val="00E44A6F"/>
    <w:rsid w:val="00E46E76"/>
    <w:rsid w:val="00E46EC8"/>
    <w:rsid w:val="00E47503"/>
    <w:rsid w:val="00E50D70"/>
    <w:rsid w:val="00E51AB3"/>
    <w:rsid w:val="00E52C97"/>
    <w:rsid w:val="00E53DAC"/>
    <w:rsid w:val="00E54164"/>
    <w:rsid w:val="00E54302"/>
    <w:rsid w:val="00E54BF9"/>
    <w:rsid w:val="00E550E8"/>
    <w:rsid w:val="00E5672E"/>
    <w:rsid w:val="00E57D6F"/>
    <w:rsid w:val="00E605F2"/>
    <w:rsid w:val="00E6165C"/>
    <w:rsid w:val="00E61A14"/>
    <w:rsid w:val="00E61DB2"/>
    <w:rsid w:val="00E6269F"/>
    <w:rsid w:val="00E628AD"/>
    <w:rsid w:val="00E62B9E"/>
    <w:rsid w:val="00E63874"/>
    <w:rsid w:val="00E63E70"/>
    <w:rsid w:val="00E64238"/>
    <w:rsid w:val="00E64831"/>
    <w:rsid w:val="00E65596"/>
    <w:rsid w:val="00E65689"/>
    <w:rsid w:val="00E66B6C"/>
    <w:rsid w:val="00E678F1"/>
    <w:rsid w:val="00E679E9"/>
    <w:rsid w:val="00E67A76"/>
    <w:rsid w:val="00E70557"/>
    <w:rsid w:val="00E70967"/>
    <w:rsid w:val="00E70BD2"/>
    <w:rsid w:val="00E70F94"/>
    <w:rsid w:val="00E7141B"/>
    <w:rsid w:val="00E71641"/>
    <w:rsid w:val="00E71F93"/>
    <w:rsid w:val="00E720F3"/>
    <w:rsid w:val="00E721AF"/>
    <w:rsid w:val="00E72C9D"/>
    <w:rsid w:val="00E74926"/>
    <w:rsid w:val="00E753A3"/>
    <w:rsid w:val="00E7612A"/>
    <w:rsid w:val="00E773E7"/>
    <w:rsid w:val="00E77B2D"/>
    <w:rsid w:val="00E805C1"/>
    <w:rsid w:val="00E81D00"/>
    <w:rsid w:val="00E81E60"/>
    <w:rsid w:val="00E821EE"/>
    <w:rsid w:val="00E82499"/>
    <w:rsid w:val="00E824C7"/>
    <w:rsid w:val="00E8417A"/>
    <w:rsid w:val="00E8423A"/>
    <w:rsid w:val="00E84D9D"/>
    <w:rsid w:val="00E853FF"/>
    <w:rsid w:val="00E859ED"/>
    <w:rsid w:val="00E85E28"/>
    <w:rsid w:val="00E85F79"/>
    <w:rsid w:val="00E86F98"/>
    <w:rsid w:val="00E87415"/>
    <w:rsid w:val="00E90598"/>
    <w:rsid w:val="00E909FE"/>
    <w:rsid w:val="00E90ADB"/>
    <w:rsid w:val="00E91D2D"/>
    <w:rsid w:val="00E91F83"/>
    <w:rsid w:val="00E9395F"/>
    <w:rsid w:val="00E945F5"/>
    <w:rsid w:val="00E9654F"/>
    <w:rsid w:val="00E96DC5"/>
    <w:rsid w:val="00E97DD5"/>
    <w:rsid w:val="00EA03FC"/>
    <w:rsid w:val="00EA0538"/>
    <w:rsid w:val="00EA25E7"/>
    <w:rsid w:val="00EA3468"/>
    <w:rsid w:val="00EA3D44"/>
    <w:rsid w:val="00EA403E"/>
    <w:rsid w:val="00EA4187"/>
    <w:rsid w:val="00EA48ED"/>
    <w:rsid w:val="00EA493C"/>
    <w:rsid w:val="00EA499F"/>
    <w:rsid w:val="00EA5073"/>
    <w:rsid w:val="00EA5572"/>
    <w:rsid w:val="00EA75AC"/>
    <w:rsid w:val="00EA761C"/>
    <w:rsid w:val="00EB163D"/>
    <w:rsid w:val="00EB16F2"/>
    <w:rsid w:val="00EB1835"/>
    <w:rsid w:val="00EB1904"/>
    <w:rsid w:val="00EB2B74"/>
    <w:rsid w:val="00EB61F1"/>
    <w:rsid w:val="00EB798C"/>
    <w:rsid w:val="00EB79DE"/>
    <w:rsid w:val="00EC04CC"/>
    <w:rsid w:val="00EC0597"/>
    <w:rsid w:val="00EC0834"/>
    <w:rsid w:val="00EC0A3B"/>
    <w:rsid w:val="00EC1EC5"/>
    <w:rsid w:val="00EC24A8"/>
    <w:rsid w:val="00EC2D77"/>
    <w:rsid w:val="00EC3A09"/>
    <w:rsid w:val="00EC3B88"/>
    <w:rsid w:val="00EC3BBE"/>
    <w:rsid w:val="00EC3EC9"/>
    <w:rsid w:val="00EC5DFA"/>
    <w:rsid w:val="00EC67F5"/>
    <w:rsid w:val="00EC6C7C"/>
    <w:rsid w:val="00EC7EFD"/>
    <w:rsid w:val="00ED08BD"/>
    <w:rsid w:val="00ED1503"/>
    <w:rsid w:val="00ED17BA"/>
    <w:rsid w:val="00ED1F7A"/>
    <w:rsid w:val="00ED3225"/>
    <w:rsid w:val="00ED3C1D"/>
    <w:rsid w:val="00ED4313"/>
    <w:rsid w:val="00ED5030"/>
    <w:rsid w:val="00ED657E"/>
    <w:rsid w:val="00ED716F"/>
    <w:rsid w:val="00EE12A1"/>
    <w:rsid w:val="00EE1626"/>
    <w:rsid w:val="00EE169B"/>
    <w:rsid w:val="00EE1749"/>
    <w:rsid w:val="00EE22F4"/>
    <w:rsid w:val="00EE24B8"/>
    <w:rsid w:val="00EE354B"/>
    <w:rsid w:val="00EE42BA"/>
    <w:rsid w:val="00EE4482"/>
    <w:rsid w:val="00EE4AA6"/>
    <w:rsid w:val="00EE4C35"/>
    <w:rsid w:val="00EE5922"/>
    <w:rsid w:val="00EE631E"/>
    <w:rsid w:val="00EE6727"/>
    <w:rsid w:val="00EE6F69"/>
    <w:rsid w:val="00EE70A7"/>
    <w:rsid w:val="00EE7593"/>
    <w:rsid w:val="00EF04E2"/>
    <w:rsid w:val="00EF10D5"/>
    <w:rsid w:val="00EF1CD5"/>
    <w:rsid w:val="00EF1D54"/>
    <w:rsid w:val="00EF1D7E"/>
    <w:rsid w:val="00EF273D"/>
    <w:rsid w:val="00EF2871"/>
    <w:rsid w:val="00EF4419"/>
    <w:rsid w:val="00EF5CB3"/>
    <w:rsid w:val="00EF6DE3"/>
    <w:rsid w:val="00EF7CA4"/>
    <w:rsid w:val="00F00029"/>
    <w:rsid w:val="00F00649"/>
    <w:rsid w:val="00F009EA"/>
    <w:rsid w:val="00F00AE8"/>
    <w:rsid w:val="00F01402"/>
    <w:rsid w:val="00F018D4"/>
    <w:rsid w:val="00F01A56"/>
    <w:rsid w:val="00F01C4A"/>
    <w:rsid w:val="00F020A2"/>
    <w:rsid w:val="00F02203"/>
    <w:rsid w:val="00F0334D"/>
    <w:rsid w:val="00F04636"/>
    <w:rsid w:val="00F078CE"/>
    <w:rsid w:val="00F07D11"/>
    <w:rsid w:val="00F108DC"/>
    <w:rsid w:val="00F12591"/>
    <w:rsid w:val="00F129A3"/>
    <w:rsid w:val="00F12D03"/>
    <w:rsid w:val="00F1395F"/>
    <w:rsid w:val="00F139F5"/>
    <w:rsid w:val="00F14759"/>
    <w:rsid w:val="00F15FB5"/>
    <w:rsid w:val="00F167FC"/>
    <w:rsid w:val="00F17036"/>
    <w:rsid w:val="00F174D4"/>
    <w:rsid w:val="00F17565"/>
    <w:rsid w:val="00F2033D"/>
    <w:rsid w:val="00F21098"/>
    <w:rsid w:val="00F2134F"/>
    <w:rsid w:val="00F21916"/>
    <w:rsid w:val="00F21E00"/>
    <w:rsid w:val="00F2243E"/>
    <w:rsid w:val="00F229A0"/>
    <w:rsid w:val="00F23165"/>
    <w:rsid w:val="00F24B57"/>
    <w:rsid w:val="00F255EA"/>
    <w:rsid w:val="00F25CC1"/>
    <w:rsid w:val="00F266C6"/>
    <w:rsid w:val="00F26C4B"/>
    <w:rsid w:val="00F2763E"/>
    <w:rsid w:val="00F2787E"/>
    <w:rsid w:val="00F304A5"/>
    <w:rsid w:val="00F3127C"/>
    <w:rsid w:val="00F31BE9"/>
    <w:rsid w:val="00F339DC"/>
    <w:rsid w:val="00F33A84"/>
    <w:rsid w:val="00F33AE1"/>
    <w:rsid w:val="00F3406E"/>
    <w:rsid w:val="00F3428B"/>
    <w:rsid w:val="00F36EB5"/>
    <w:rsid w:val="00F36F46"/>
    <w:rsid w:val="00F37108"/>
    <w:rsid w:val="00F37533"/>
    <w:rsid w:val="00F41ACE"/>
    <w:rsid w:val="00F42310"/>
    <w:rsid w:val="00F425F2"/>
    <w:rsid w:val="00F42798"/>
    <w:rsid w:val="00F4307F"/>
    <w:rsid w:val="00F43837"/>
    <w:rsid w:val="00F43EEF"/>
    <w:rsid w:val="00F4441E"/>
    <w:rsid w:val="00F445E9"/>
    <w:rsid w:val="00F4466A"/>
    <w:rsid w:val="00F44B94"/>
    <w:rsid w:val="00F451EC"/>
    <w:rsid w:val="00F45634"/>
    <w:rsid w:val="00F4591D"/>
    <w:rsid w:val="00F45BD2"/>
    <w:rsid w:val="00F46092"/>
    <w:rsid w:val="00F46333"/>
    <w:rsid w:val="00F4679F"/>
    <w:rsid w:val="00F46A3F"/>
    <w:rsid w:val="00F46E0F"/>
    <w:rsid w:val="00F47FFD"/>
    <w:rsid w:val="00F50483"/>
    <w:rsid w:val="00F5065E"/>
    <w:rsid w:val="00F51B05"/>
    <w:rsid w:val="00F52DDC"/>
    <w:rsid w:val="00F535D3"/>
    <w:rsid w:val="00F54610"/>
    <w:rsid w:val="00F5572B"/>
    <w:rsid w:val="00F55F64"/>
    <w:rsid w:val="00F56D3E"/>
    <w:rsid w:val="00F5774E"/>
    <w:rsid w:val="00F60066"/>
    <w:rsid w:val="00F602E2"/>
    <w:rsid w:val="00F609EA"/>
    <w:rsid w:val="00F62341"/>
    <w:rsid w:val="00F63A00"/>
    <w:rsid w:val="00F63DE7"/>
    <w:rsid w:val="00F63EAA"/>
    <w:rsid w:val="00F63FDA"/>
    <w:rsid w:val="00F64D19"/>
    <w:rsid w:val="00F657C8"/>
    <w:rsid w:val="00F6671D"/>
    <w:rsid w:val="00F66D4A"/>
    <w:rsid w:val="00F6715D"/>
    <w:rsid w:val="00F677F4"/>
    <w:rsid w:val="00F704CD"/>
    <w:rsid w:val="00F70B2A"/>
    <w:rsid w:val="00F71199"/>
    <w:rsid w:val="00F711A5"/>
    <w:rsid w:val="00F7251B"/>
    <w:rsid w:val="00F76AB8"/>
    <w:rsid w:val="00F77ABA"/>
    <w:rsid w:val="00F80043"/>
    <w:rsid w:val="00F80D61"/>
    <w:rsid w:val="00F80D90"/>
    <w:rsid w:val="00F81276"/>
    <w:rsid w:val="00F813BC"/>
    <w:rsid w:val="00F814FD"/>
    <w:rsid w:val="00F82502"/>
    <w:rsid w:val="00F82CEA"/>
    <w:rsid w:val="00F83D60"/>
    <w:rsid w:val="00F84832"/>
    <w:rsid w:val="00F85D3E"/>
    <w:rsid w:val="00F86781"/>
    <w:rsid w:val="00F86D23"/>
    <w:rsid w:val="00F8753B"/>
    <w:rsid w:val="00F90994"/>
    <w:rsid w:val="00F90EC2"/>
    <w:rsid w:val="00F9168C"/>
    <w:rsid w:val="00F9183B"/>
    <w:rsid w:val="00F91E6E"/>
    <w:rsid w:val="00F92543"/>
    <w:rsid w:val="00F9348D"/>
    <w:rsid w:val="00F93791"/>
    <w:rsid w:val="00F93ED9"/>
    <w:rsid w:val="00F943DE"/>
    <w:rsid w:val="00F94498"/>
    <w:rsid w:val="00F948D8"/>
    <w:rsid w:val="00F955F0"/>
    <w:rsid w:val="00F9676E"/>
    <w:rsid w:val="00FA0419"/>
    <w:rsid w:val="00FA064B"/>
    <w:rsid w:val="00FA06FD"/>
    <w:rsid w:val="00FA0A79"/>
    <w:rsid w:val="00FA0DD6"/>
    <w:rsid w:val="00FA1CAD"/>
    <w:rsid w:val="00FA23AF"/>
    <w:rsid w:val="00FA27D3"/>
    <w:rsid w:val="00FA390E"/>
    <w:rsid w:val="00FA397D"/>
    <w:rsid w:val="00FA4A4A"/>
    <w:rsid w:val="00FA4D7B"/>
    <w:rsid w:val="00FA55AC"/>
    <w:rsid w:val="00FA5638"/>
    <w:rsid w:val="00FA59BF"/>
    <w:rsid w:val="00FA5A88"/>
    <w:rsid w:val="00FA5B52"/>
    <w:rsid w:val="00FA645A"/>
    <w:rsid w:val="00FA68AF"/>
    <w:rsid w:val="00FA75BE"/>
    <w:rsid w:val="00FA7DEF"/>
    <w:rsid w:val="00FB02AC"/>
    <w:rsid w:val="00FB033D"/>
    <w:rsid w:val="00FB09D8"/>
    <w:rsid w:val="00FB0C52"/>
    <w:rsid w:val="00FB1722"/>
    <w:rsid w:val="00FB172E"/>
    <w:rsid w:val="00FB1938"/>
    <w:rsid w:val="00FB1B4D"/>
    <w:rsid w:val="00FB2EAE"/>
    <w:rsid w:val="00FB361B"/>
    <w:rsid w:val="00FB36C2"/>
    <w:rsid w:val="00FB48AF"/>
    <w:rsid w:val="00FB591A"/>
    <w:rsid w:val="00FB5954"/>
    <w:rsid w:val="00FB609A"/>
    <w:rsid w:val="00FB6790"/>
    <w:rsid w:val="00FB6FD4"/>
    <w:rsid w:val="00FC0429"/>
    <w:rsid w:val="00FC069B"/>
    <w:rsid w:val="00FC09B2"/>
    <w:rsid w:val="00FC0A08"/>
    <w:rsid w:val="00FC0A51"/>
    <w:rsid w:val="00FC2078"/>
    <w:rsid w:val="00FC2369"/>
    <w:rsid w:val="00FC28C3"/>
    <w:rsid w:val="00FC2ED8"/>
    <w:rsid w:val="00FC3837"/>
    <w:rsid w:val="00FC47B9"/>
    <w:rsid w:val="00FC51AD"/>
    <w:rsid w:val="00FC593C"/>
    <w:rsid w:val="00FC5D6B"/>
    <w:rsid w:val="00FC74A8"/>
    <w:rsid w:val="00FD004F"/>
    <w:rsid w:val="00FD0355"/>
    <w:rsid w:val="00FD2240"/>
    <w:rsid w:val="00FD23CD"/>
    <w:rsid w:val="00FD2539"/>
    <w:rsid w:val="00FD4118"/>
    <w:rsid w:val="00FD5270"/>
    <w:rsid w:val="00FD58FF"/>
    <w:rsid w:val="00FD5AF2"/>
    <w:rsid w:val="00FD60B1"/>
    <w:rsid w:val="00FD6260"/>
    <w:rsid w:val="00FD64FC"/>
    <w:rsid w:val="00FD6DBF"/>
    <w:rsid w:val="00FD75EA"/>
    <w:rsid w:val="00FD7796"/>
    <w:rsid w:val="00FE0624"/>
    <w:rsid w:val="00FE1488"/>
    <w:rsid w:val="00FE15BF"/>
    <w:rsid w:val="00FE1B9D"/>
    <w:rsid w:val="00FE1EBD"/>
    <w:rsid w:val="00FE2394"/>
    <w:rsid w:val="00FE28DB"/>
    <w:rsid w:val="00FE3DF0"/>
    <w:rsid w:val="00FE42C2"/>
    <w:rsid w:val="00FE4483"/>
    <w:rsid w:val="00FE4799"/>
    <w:rsid w:val="00FE4A1D"/>
    <w:rsid w:val="00FE5718"/>
    <w:rsid w:val="00FE5C67"/>
    <w:rsid w:val="00FE68CD"/>
    <w:rsid w:val="00FE7D23"/>
    <w:rsid w:val="00FE7E1D"/>
    <w:rsid w:val="00FF1FDC"/>
    <w:rsid w:val="00FF271E"/>
    <w:rsid w:val="00FF2D9F"/>
    <w:rsid w:val="00FF51A8"/>
    <w:rsid w:val="00FF539B"/>
    <w:rsid w:val="00FF5BFA"/>
    <w:rsid w:val="00FF5F56"/>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C25958D7-0A5F-4BDA-A408-28FB808F3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TAN">
    <w:name w:val="TAN"/>
    <w:basedOn w:val="TAL"/>
    <w:qFormat/>
    <w:rsid w:val="002C0A41"/>
    <w:pPr>
      <w:ind w:left="851" w:hanging="851"/>
    </w:pPr>
  </w:style>
  <w:style w:type="paragraph" w:customStyle="1" w:styleId="Style1">
    <w:name w:val="Style1"/>
    <w:basedOn w:val="40"/>
    <w:rsid w:val="000E4DFE"/>
    <w:pPr>
      <w:widowControl w:val="0"/>
      <w:numPr>
        <w:ilvl w:val="0"/>
        <w:numId w:val="0"/>
      </w:numPr>
      <w:tabs>
        <w:tab w:val="left" w:pos="907"/>
      </w:tabs>
      <w:ind w:left="907" w:hanging="907"/>
    </w:pPr>
    <w:rPr>
      <w:rFonts w:ascii="Arial" w:hAnsi="Arial" w:cs="Arial"/>
      <w:sz w:val="22"/>
      <w:lang w:val="en-GB" w:eastAsia="en-GB"/>
    </w:rPr>
  </w:style>
  <w:style w:type="paragraph" w:customStyle="1" w:styleId="FP">
    <w:name w:val="FP"/>
    <w:basedOn w:val="a"/>
    <w:rsid w:val="00BB19D6"/>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75754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47118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134826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601844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52AD-29FC-44E9-94ED-14F0883B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4</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513</cp:revision>
  <cp:lastPrinted>2007-08-28T14:45:00Z</cp:lastPrinted>
  <dcterms:created xsi:type="dcterms:W3CDTF">2024-11-05T05:29:00Z</dcterms:created>
  <dcterms:modified xsi:type="dcterms:W3CDTF">2025-02-07T06:24:00Z</dcterms:modified>
</cp:coreProperties>
</file>